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Pr="000D2ABF" w:rsidRDefault="00232A5A" w:rsidP="004743D8">
      <w:pPr>
        <w:pStyle w:val="TDC1"/>
        <w:rPr>
          <w:rStyle w:val="Hipervnculo"/>
          <w:b/>
          <w:color w:val="auto"/>
          <w:sz w:val="24"/>
          <w:szCs w:val="24"/>
        </w:rPr>
      </w:pPr>
    </w:p>
    <w:p w:rsidR="00232A5A" w:rsidRPr="000D2ABF" w:rsidRDefault="00232A5A" w:rsidP="004743D8">
      <w:pPr>
        <w:pStyle w:val="TDC1"/>
        <w:rPr>
          <w:rStyle w:val="Hipervnculo"/>
          <w:b/>
          <w:color w:val="auto"/>
          <w:sz w:val="24"/>
          <w:szCs w:val="24"/>
        </w:rPr>
      </w:pPr>
    </w:p>
    <w:p w:rsidR="00232A5A" w:rsidRPr="000D2ABF" w:rsidRDefault="00232A5A" w:rsidP="004743D8">
      <w:pPr>
        <w:pStyle w:val="TDC1"/>
        <w:rPr>
          <w:rStyle w:val="Hipervnculo"/>
          <w:b/>
          <w:color w:val="auto"/>
          <w:sz w:val="24"/>
          <w:szCs w:val="24"/>
        </w:rPr>
      </w:pPr>
    </w:p>
    <w:p w:rsidR="00C561FA" w:rsidRPr="000D2ABF" w:rsidRDefault="00C561FA" w:rsidP="004743D8">
      <w:pPr>
        <w:pStyle w:val="TDC1"/>
        <w:rPr>
          <w:rStyle w:val="Hipervnculo"/>
          <w:b/>
          <w:color w:val="auto"/>
          <w:sz w:val="24"/>
          <w:szCs w:val="24"/>
        </w:rPr>
      </w:pPr>
      <w:r w:rsidRPr="000D2ABF">
        <w:rPr>
          <w:rStyle w:val="Hipervnculo"/>
          <w:b/>
          <w:color w:val="auto"/>
          <w:sz w:val="24"/>
          <w:szCs w:val="24"/>
        </w:rPr>
        <w:t>Tabla de contenidos</w:t>
      </w:r>
    </w:p>
    <w:p w:rsidR="00DC7704" w:rsidRPr="000D2ABF" w:rsidRDefault="00DC7704" w:rsidP="000D2ABF">
      <w:pPr>
        <w:suppressAutoHyphens w:val="0"/>
        <w:ind w:left="708"/>
        <w:jc w:val="both"/>
        <w:rPr>
          <w:i/>
          <w:color w:val="000000"/>
          <w:lang w:val="es-CR" w:eastAsia="es-CR"/>
        </w:rPr>
      </w:pPr>
    </w:p>
    <w:p w:rsidR="0014644F" w:rsidRPr="000D2ABF" w:rsidRDefault="0014644F" w:rsidP="000D2ABF">
      <w:pPr>
        <w:pStyle w:val="Textoindependiente"/>
        <w:widowControl w:val="0"/>
        <w:autoSpaceDE w:val="0"/>
        <w:autoSpaceDN w:val="0"/>
        <w:adjustRightInd w:val="0"/>
        <w:contextualSpacing/>
        <w:rPr>
          <w:rFonts w:ascii="Times New Roman" w:hAnsi="Times New Roman"/>
          <w:b/>
          <w:szCs w:val="24"/>
          <w:lang w:val="es-ES"/>
        </w:rPr>
      </w:pPr>
    </w:p>
    <w:sdt>
      <w:sdtPr>
        <w:rPr>
          <w:rFonts w:ascii="Times New Roman" w:eastAsia="Times New Roman" w:hAnsi="Times New Roman" w:cs="Times New Roman"/>
          <w:b w:val="0"/>
          <w:bCs w:val="0"/>
          <w:color w:val="auto"/>
          <w:sz w:val="24"/>
          <w:szCs w:val="24"/>
          <w:lang w:val="es-ES" w:eastAsia="ar-SA"/>
        </w:rPr>
        <w:id w:val="-1090930832"/>
        <w:docPartObj>
          <w:docPartGallery w:val="Table of Contents"/>
          <w:docPartUnique/>
        </w:docPartObj>
      </w:sdtPr>
      <w:sdtEndPr/>
      <w:sdtContent>
        <w:p w:rsidR="00232A5A" w:rsidRPr="000D2ABF" w:rsidRDefault="00232A5A" w:rsidP="000D2ABF">
          <w:pPr>
            <w:pStyle w:val="TtulodeTDC"/>
            <w:jc w:val="both"/>
            <w:rPr>
              <w:rFonts w:ascii="Times New Roman" w:hAnsi="Times New Roman" w:cs="Times New Roman"/>
              <w:color w:val="auto"/>
              <w:sz w:val="24"/>
              <w:szCs w:val="24"/>
            </w:rPr>
          </w:pPr>
        </w:p>
        <w:p w:rsidR="004743D8" w:rsidRPr="004743D8" w:rsidRDefault="00232A5A" w:rsidP="004743D8">
          <w:pPr>
            <w:pStyle w:val="TDC1"/>
            <w:rPr>
              <w:rFonts w:asciiTheme="minorHAnsi" w:eastAsiaTheme="minorEastAsia" w:hAnsiTheme="minorHAnsi" w:cstheme="minorBidi"/>
              <w:noProof/>
              <w:color w:val="auto"/>
              <w:lang w:eastAsia="es-CR"/>
            </w:rPr>
          </w:pPr>
          <w:r w:rsidRPr="004743D8">
            <w:rPr>
              <w:b/>
              <w:bCs/>
              <w:color w:val="auto"/>
              <w:sz w:val="24"/>
              <w:szCs w:val="24"/>
              <w:lang w:val="es-ES"/>
            </w:rPr>
            <w:fldChar w:fldCharType="begin"/>
          </w:r>
          <w:r w:rsidRPr="004743D8">
            <w:rPr>
              <w:b/>
              <w:bCs/>
              <w:color w:val="auto"/>
              <w:sz w:val="24"/>
              <w:szCs w:val="24"/>
              <w:lang w:val="es-ES"/>
            </w:rPr>
            <w:instrText xml:space="preserve"> TOC \o "1-3" \h \z \u </w:instrText>
          </w:r>
          <w:r w:rsidRPr="004743D8">
            <w:rPr>
              <w:b/>
              <w:bCs/>
              <w:color w:val="auto"/>
              <w:sz w:val="24"/>
              <w:szCs w:val="24"/>
              <w:lang w:val="es-ES"/>
            </w:rPr>
            <w:fldChar w:fldCharType="separate"/>
          </w:r>
          <w:hyperlink w:anchor="_Toc532572757" w:history="1">
            <w:r w:rsidR="004743D8" w:rsidRPr="004743D8">
              <w:rPr>
                <w:rStyle w:val="Hipervnculo"/>
                <w:b/>
                <w:noProof/>
                <w:color w:val="auto"/>
              </w:rPr>
              <w:t>1. INTRODUCCIÓN</w:t>
            </w:r>
            <w:r w:rsidR="004743D8" w:rsidRPr="004743D8">
              <w:rPr>
                <w:noProof/>
                <w:webHidden/>
                <w:color w:val="auto"/>
              </w:rPr>
              <w:tab/>
            </w:r>
            <w:r w:rsidR="004743D8" w:rsidRPr="004743D8">
              <w:rPr>
                <w:noProof/>
                <w:webHidden/>
                <w:color w:val="auto"/>
              </w:rPr>
              <w:fldChar w:fldCharType="begin"/>
            </w:r>
            <w:r w:rsidR="004743D8" w:rsidRPr="004743D8">
              <w:rPr>
                <w:noProof/>
                <w:webHidden/>
                <w:color w:val="auto"/>
              </w:rPr>
              <w:instrText xml:space="preserve"> PAGEREF _Toc532572757 \h </w:instrText>
            </w:r>
            <w:r w:rsidR="004743D8" w:rsidRPr="004743D8">
              <w:rPr>
                <w:noProof/>
                <w:webHidden/>
                <w:color w:val="auto"/>
              </w:rPr>
            </w:r>
            <w:r w:rsidR="004743D8" w:rsidRPr="004743D8">
              <w:rPr>
                <w:noProof/>
                <w:webHidden/>
                <w:color w:val="auto"/>
              </w:rPr>
              <w:fldChar w:fldCharType="separate"/>
            </w:r>
            <w:r w:rsidR="004743D8" w:rsidRPr="004743D8">
              <w:rPr>
                <w:noProof/>
                <w:webHidden/>
                <w:color w:val="auto"/>
              </w:rPr>
              <w:t>2</w:t>
            </w:r>
            <w:r w:rsidR="004743D8" w:rsidRPr="004743D8">
              <w:rPr>
                <w:noProof/>
                <w:webHidden/>
                <w:color w:val="auto"/>
              </w:rPr>
              <w:fldChar w:fldCharType="end"/>
            </w:r>
          </w:hyperlink>
        </w:p>
        <w:p w:rsidR="004743D8" w:rsidRPr="004743D8" w:rsidRDefault="004743D8">
          <w:pPr>
            <w:pStyle w:val="TDC2"/>
            <w:tabs>
              <w:tab w:val="left" w:pos="880"/>
              <w:tab w:val="right" w:leader="dot" w:pos="8828"/>
            </w:tabs>
            <w:rPr>
              <w:rStyle w:val="Hipervnculo"/>
              <w:noProof/>
              <w:color w:val="auto"/>
            </w:rPr>
          </w:pPr>
        </w:p>
        <w:p w:rsidR="004743D8" w:rsidRPr="004743D8" w:rsidRDefault="00EC0EA7">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2572758" w:history="1">
            <w:r w:rsidR="004743D8" w:rsidRPr="004743D8">
              <w:rPr>
                <w:rStyle w:val="Hipervnculo"/>
                <w:noProof/>
                <w:color w:val="auto"/>
              </w:rPr>
              <w:t>1.1</w:t>
            </w:r>
            <w:r w:rsidR="004743D8">
              <w:rPr>
                <w:rFonts w:asciiTheme="minorHAnsi" w:eastAsiaTheme="minorEastAsia" w:hAnsiTheme="minorHAnsi" w:cstheme="minorBidi"/>
                <w:smallCaps w:val="0"/>
                <w:noProof/>
                <w:sz w:val="22"/>
                <w:szCs w:val="22"/>
                <w:lang w:val="es-CR" w:eastAsia="es-CR"/>
              </w:rPr>
              <w:t xml:space="preserve"> </w:t>
            </w:r>
            <w:r w:rsidR="004743D8" w:rsidRPr="004743D8">
              <w:rPr>
                <w:rStyle w:val="Hipervnculo"/>
                <w:noProof/>
                <w:color w:val="auto"/>
              </w:rPr>
              <w:t>Objetivo General</w:t>
            </w:r>
            <w:r w:rsidR="004743D8" w:rsidRPr="004743D8">
              <w:rPr>
                <w:noProof/>
                <w:webHidden/>
              </w:rPr>
              <w:tab/>
            </w:r>
            <w:r w:rsidR="004743D8" w:rsidRPr="004743D8">
              <w:rPr>
                <w:noProof/>
                <w:webHidden/>
              </w:rPr>
              <w:fldChar w:fldCharType="begin"/>
            </w:r>
            <w:r w:rsidR="004743D8" w:rsidRPr="004743D8">
              <w:rPr>
                <w:noProof/>
                <w:webHidden/>
              </w:rPr>
              <w:instrText xml:space="preserve"> PAGEREF _Toc532572758 \h </w:instrText>
            </w:r>
            <w:r w:rsidR="004743D8" w:rsidRPr="004743D8">
              <w:rPr>
                <w:noProof/>
                <w:webHidden/>
              </w:rPr>
            </w:r>
            <w:r w:rsidR="004743D8" w:rsidRPr="004743D8">
              <w:rPr>
                <w:noProof/>
                <w:webHidden/>
              </w:rPr>
              <w:fldChar w:fldCharType="separate"/>
            </w:r>
            <w:r w:rsidR="004743D8" w:rsidRPr="004743D8">
              <w:rPr>
                <w:noProof/>
                <w:webHidden/>
              </w:rPr>
              <w:t>2</w:t>
            </w:r>
            <w:r w:rsidR="004743D8" w:rsidRPr="004743D8">
              <w:rPr>
                <w:noProof/>
                <w:webHidden/>
              </w:rPr>
              <w:fldChar w:fldCharType="end"/>
            </w:r>
          </w:hyperlink>
        </w:p>
        <w:p w:rsidR="004743D8" w:rsidRPr="004743D8" w:rsidRDefault="00EC0EA7">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2572759" w:history="1">
            <w:r w:rsidR="004743D8" w:rsidRPr="004743D8">
              <w:rPr>
                <w:rStyle w:val="Hipervnculo"/>
                <w:noProof/>
                <w:color w:val="auto"/>
              </w:rPr>
              <w:t>1.2</w:t>
            </w:r>
            <w:r w:rsidR="004743D8">
              <w:rPr>
                <w:rFonts w:asciiTheme="minorHAnsi" w:eastAsiaTheme="minorEastAsia" w:hAnsiTheme="minorHAnsi" w:cstheme="minorBidi"/>
                <w:smallCaps w:val="0"/>
                <w:noProof/>
                <w:sz w:val="22"/>
                <w:szCs w:val="22"/>
                <w:lang w:val="es-CR" w:eastAsia="es-CR"/>
              </w:rPr>
              <w:t xml:space="preserve"> </w:t>
            </w:r>
            <w:r w:rsidR="004743D8" w:rsidRPr="004743D8">
              <w:rPr>
                <w:rStyle w:val="Hipervnculo"/>
                <w:noProof/>
                <w:color w:val="auto"/>
              </w:rPr>
              <w:t>Alcance</w:t>
            </w:r>
            <w:r w:rsidR="004743D8" w:rsidRPr="004743D8">
              <w:rPr>
                <w:noProof/>
                <w:webHidden/>
              </w:rPr>
              <w:tab/>
            </w:r>
            <w:r w:rsidR="004743D8" w:rsidRPr="004743D8">
              <w:rPr>
                <w:noProof/>
                <w:webHidden/>
              </w:rPr>
              <w:fldChar w:fldCharType="begin"/>
            </w:r>
            <w:r w:rsidR="004743D8" w:rsidRPr="004743D8">
              <w:rPr>
                <w:noProof/>
                <w:webHidden/>
              </w:rPr>
              <w:instrText xml:space="preserve"> PAGEREF _Toc532572759 \h </w:instrText>
            </w:r>
            <w:r w:rsidR="004743D8" w:rsidRPr="004743D8">
              <w:rPr>
                <w:noProof/>
                <w:webHidden/>
              </w:rPr>
            </w:r>
            <w:r w:rsidR="004743D8" w:rsidRPr="004743D8">
              <w:rPr>
                <w:noProof/>
                <w:webHidden/>
              </w:rPr>
              <w:fldChar w:fldCharType="separate"/>
            </w:r>
            <w:r w:rsidR="004743D8" w:rsidRPr="004743D8">
              <w:rPr>
                <w:noProof/>
                <w:webHidden/>
              </w:rPr>
              <w:t>2</w:t>
            </w:r>
            <w:r w:rsidR="004743D8" w:rsidRPr="004743D8">
              <w:rPr>
                <w:noProof/>
                <w:webHidden/>
              </w:rPr>
              <w:fldChar w:fldCharType="end"/>
            </w:r>
          </w:hyperlink>
        </w:p>
        <w:p w:rsidR="004743D8" w:rsidRPr="004743D8" w:rsidRDefault="00EC0EA7">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572760" w:history="1">
            <w:r w:rsidR="004743D8" w:rsidRPr="004743D8">
              <w:rPr>
                <w:rStyle w:val="Hipervnculo"/>
                <w:noProof/>
                <w:color w:val="auto"/>
              </w:rPr>
              <w:t>1.3 Antecedentes</w:t>
            </w:r>
            <w:r w:rsidR="004743D8" w:rsidRPr="004743D8">
              <w:rPr>
                <w:noProof/>
                <w:webHidden/>
              </w:rPr>
              <w:tab/>
            </w:r>
            <w:r w:rsidR="004743D8" w:rsidRPr="004743D8">
              <w:rPr>
                <w:noProof/>
                <w:webHidden/>
              </w:rPr>
              <w:fldChar w:fldCharType="begin"/>
            </w:r>
            <w:r w:rsidR="004743D8" w:rsidRPr="004743D8">
              <w:rPr>
                <w:noProof/>
                <w:webHidden/>
              </w:rPr>
              <w:instrText xml:space="preserve"> PAGEREF _Toc532572760 \h </w:instrText>
            </w:r>
            <w:r w:rsidR="004743D8" w:rsidRPr="004743D8">
              <w:rPr>
                <w:noProof/>
                <w:webHidden/>
              </w:rPr>
            </w:r>
            <w:r w:rsidR="004743D8" w:rsidRPr="004743D8">
              <w:rPr>
                <w:noProof/>
                <w:webHidden/>
              </w:rPr>
              <w:fldChar w:fldCharType="separate"/>
            </w:r>
            <w:r w:rsidR="004743D8" w:rsidRPr="004743D8">
              <w:rPr>
                <w:noProof/>
                <w:webHidden/>
              </w:rPr>
              <w:t>2</w:t>
            </w:r>
            <w:r w:rsidR="004743D8" w:rsidRPr="004743D8">
              <w:rPr>
                <w:noProof/>
                <w:webHidden/>
              </w:rPr>
              <w:fldChar w:fldCharType="end"/>
            </w:r>
          </w:hyperlink>
        </w:p>
        <w:p w:rsidR="004743D8" w:rsidRPr="004743D8" w:rsidRDefault="004743D8" w:rsidP="004743D8">
          <w:pPr>
            <w:pStyle w:val="TDC1"/>
            <w:rPr>
              <w:rStyle w:val="Hipervnculo"/>
              <w:noProof/>
              <w:color w:val="auto"/>
            </w:rPr>
          </w:pPr>
        </w:p>
        <w:p w:rsidR="004743D8" w:rsidRPr="004743D8" w:rsidRDefault="00EC0EA7" w:rsidP="004743D8">
          <w:pPr>
            <w:pStyle w:val="TDC1"/>
            <w:rPr>
              <w:rFonts w:asciiTheme="minorHAnsi" w:eastAsiaTheme="minorEastAsia" w:hAnsiTheme="minorHAnsi" w:cstheme="minorBidi"/>
              <w:noProof/>
              <w:color w:val="auto"/>
              <w:lang w:eastAsia="es-CR"/>
            </w:rPr>
          </w:pPr>
          <w:hyperlink w:anchor="_Toc532572761" w:history="1">
            <w:r w:rsidR="004743D8" w:rsidRPr="004743D8">
              <w:rPr>
                <w:rStyle w:val="Hipervnculo"/>
                <w:b/>
                <w:noProof/>
                <w:color w:val="auto"/>
              </w:rPr>
              <w:t>2. HALLAZGOS Y RECOMENDACIONES</w:t>
            </w:r>
            <w:r w:rsidR="004743D8" w:rsidRPr="004743D8">
              <w:rPr>
                <w:noProof/>
                <w:webHidden/>
                <w:color w:val="auto"/>
              </w:rPr>
              <w:tab/>
            </w:r>
            <w:r w:rsidR="004743D8" w:rsidRPr="004743D8">
              <w:rPr>
                <w:noProof/>
                <w:webHidden/>
                <w:color w:val="auto"/>
              </w:rPr>
              <w:fldChar w:fldCharType="begin"/>
            </w:r>
            <w:r w:rsidR="004743D8" w:rsidRPr="004743D8">
              <w:rPr>
                <w:noProof/>
                <w:webHidden/>
                <w:color w:val="auto"/>
              </w:rPr>
              <w:instrText xml:space="preserve"> PAGEREF _Toc532572761 \h </w:instrText>
            </w:r>
            <w:r w:rsidR="004743D8" w:rsidRPr="004743D8">
              <w:rPr>
                <w:noProof/>
                <w:webHidden/>
                <w:color w:val="auto"/>
              </w:rPr>
            </w:r>
            <w:r w:rsidR="004743D8" w:rsidRPr="004743D8">
              <w:rPr>
                <w:noProof/>
                <w:webHidden/>
                <w:color w:val="auto"/>
              </w:rPr>
              <w:fldChar w:fldCharType="separate"/>
            </w:r>
            <w:r w:rsidR="004743D8" w:rsidRPr="004743D8">
              <w:rPr>
                <w:noProof/>
                <w:webHidden/>
                <w:color w:val="auto"/>
              </w:rPr>
              <w:t>3</w:t>
            </w:r>
            <w:r w:rsidR="004743D8" w:rsidRPr="004743D8">
              <w:rPr>
                <w:noProof/>
                <w:webHidden/>
                <w:color w:val="auto"/>
              </w:rPr>
              <w:fldChar w:fldCharType="end"/>
            </w:r>
          </w:hyperlink>
        </w:p>
        <w:p w:rsidR="004743D8" w:rsidRPr="004743D8" w:rsidRDefault="004743D8" w:rsidP="004743D8">
          <w:pPr>
            <w:pStyle w:val="TDC1"/>
            <w:rPr>
              <w:rStyle w:val="Hipervnculo"/>
              <w:noProof/>
              <w:color w:val="auto"/>
            </w:rPr>
          </w:pPr>
        </w:p>
        <w:p w:rsidR="004743D8" w:rsidRPr="004743D8" w:rsidRDefault="00EC0EA7" w:rsidP="004743D8">
          <w:pPr>
            <w:pStyle w:val="TDC1"/>
            <w:rPr>
              <w:rFonts w:asciiTheme="minorHAnsi" w:eastAsiaTheme="minorEastAsia" w:hAnsiTheme="minorHAnsi" w:cstheme="minorBidi"/>
              <w:noProof/>
              <w:color w:val="auto"/>
              <w:lang w:eastAsia="es-CR"/>
            </w:rPr>
          </w:pPr>
          <w:hyperlink w:anchor="_Toc532572762" w:history="1">
            <w:r w:rsidR="004743D8" w:rsidRPr="004743D8">
              <w:rPr>
                <w:rStyle w:val="Hipervnculo"/>
                <w:b/>
                <w:noProof/>
                <w:color w:val="auto"/>
              </w:rPr>
              <w:t>3. CONCLUSIONES</w:t>
            </w:r>
            <w:r w:rsidR="004743D8" w:rsidRPr="004743D8">
              <w:rPr>
                <w:noProof/>
                <w:webHidden/>
                <w:color w:val="auto"/>
              </w:rPr>
              <w:tab/>
            </w:r>
            <w:r w:rsidR="004743D8" w:rsidRPr="004743D8">
              <w:rPr>
                <w:noProof/>
                <w:webHidden/>
                <w:color w:val="auto"/>
              </w:rPr>
              <w:fldChar w:fldCharType="begin"/>
            </w:r>
            <w:r w:rsidR="004743D8" w:rsidRPr="004743D8">
              <w:rPr>
                <w:noProof/>
                <w:webHidden/>
                <w:color w:val="auto"/>
              </w:rPr>
              <w:instrText xml:space="preserve"> PAGEREF _Toc532572762 \h </w:instrText>
            </w:r>
            <w:r w:rsidR="004743D8" w:rsidRPr="004743D8">
              <w:rPr>
                <w:noProof/>
                <w:webHidden/>
                <w:color w:val="auto"/>
              </w:rPr>
            </w:r>
            <w:r w:rsidR="004743D8" w:rsidRPr="004743D8">
              <w:rPr>
                <w:noProof/>
                <w:webHidden/>
                <w:color w:val="auto"/>
              </w:rPr>
              <w:fldChar w:fldCharType="separate"/>
            </w:r>
            <w:r w:rsidR="004743D8" w:rsidRPr="004743D8">
              <w:rPr>
                <w:noProof/>
                <w:webHidden/>
                <w:color w:val="auto"/>
              </w:rPr>
              <w:t>11</w:t>
            </w:r>
            <w:r w:rsidR="004743D8" w:rsidRPr="004743D8">
              <w:rPr>
                <w:noProof/>
                <w:webHidden/>
                <w:color w:val="auto"/>
              </w:rPr>
              <w:fldChar w:fldCharType="end"/>
            </w:r>
          </w:hyperlink>
        </w:p>
        <w:p w:rsidR="004743D8" w:rsidRPr="004743D8" w:rsidRDefault="004743D8" w:rsidP="004743D8">
          <w:pPr>
            <w:pStyle w:val="TDC1"/>
            <w:rPr>
              <w:rStyle w:val="Hipervnculo"/>
              <w:noProof/>
              <w:color w:val="auto"/>
            </w:rPr>
          </w:pPr>
        </w:p>
        <w:p w:rsidR="004743D8" w:rsidRPr="004743D8" w:rsidRDefault="00EC0EA7" w:rsidP="004743D8">
          <w:pPr>
            <w:pStyle w:val="TDC1"/>
            <w:rPr>
              <w:rFonts w:asciiTheme="minorHAnsi" w:eastAsiaTheme="minorEastAsia" w:hAnsiTheme="minorHAnsi" w:cstheme="minorBidi"/>
              <w:noProof/>
              <w:color w:val="auto"/>
              <w:lang w:eastAsia="es-CR"/>
            </w:rPr>
          </w:pPr>
          <w:hyperlink w:anchor="_Toc532572763" w:history="1">
            <w:r w:rsidR="004743D8" w:rsidRPr="004743D8">
              <w:rPr>
                <w:rStyle w:val="Hipervnculo"/>
                <w:b/>
                <w:noProof/>
                <w:color w:val="auto"/>
              </w:rPr>
              <w:t>4. RECOMENDACIÓN</w:t>
            </w:r>
            <w:r w:rsidR="004743D8" w:rsidRPr="004743D8">
              <w:rPr>
                <w:noProof/>
                <w:webHidden/>
                <w:color w:val="auto"/>
              </w:rPr>
              <w:tab/>
            </w:r>
            <w:r w:rsidR="004743D8" w:rsidRPr="004743D8">
              <w:rPr>
                <w:noProof/>
                <w:webHidden/>
                <w:color w:val="auto"/>
              </w:rPr>
              <w:fldChar w:fldCharType="begin"/>
            </w:r>
            <w:r w:rsidR="004743D8" w:rsidRPr="004743D8">
              <w:rPr>
                <w:noProof/>
                <w:webHidden/>
                <w:color w:val="auto"/>
              </w:rPr>
              <w:instrText xml:space="preserve"> PAGEREF _Toc532572763 \h </w:instrText>
            </w:r>
            <w:r w:rsidR="004743D8" w:rsidRPr="004743D8">
              <w:rPr>
                <w:noProof/>
                <w:webHidden/>
                <w:color w:val="auto"/>
              </w:rPr>
            </w:r>
            <w:r w:rsidR="004743D8" w:rsidRPr="004743D8">
              <w:rPr>
                <w:noProof/>
                <w:webHidden/>
                <w:color w:val="auto"/>
              </w:rPr>
              <w:fldChar w:fldCharType="separate"/>
            </w:r>
            <w:r w:rsidR="004743D8" w:rsidRPr="004743D8">
              <w:rPr>
                <w:noProof/>
                <w:webHidden/>
                <w:color w:val="auto"/>
              </w:rPr>
              <w:t>12</w:t>
            </w:r>
            <w:r w:rsidR="004743D8" w:rsidRPr="004743D8">
              <w:rPr>
                <w:noProof/>
                <w:webHidden/>
                <w:color w:val="auto"/>
              </w:rPr>
              <w:fldChar w:fldCharType="end"/>
            </w:r>
          </w:hyperlink>
        </w:p>
        <w:p w:rsidR="004743D8" w:rsidRPr="004743D8" w:rsidRDefault="004743D8" w:rsidP="004743D8">
          <w:pPr>
            <w:pStyle w:val="TDC1"/>
            <w:rPr>
              <w:rStyle w:val="Hipervnculo"/>
              <w:noProof/>
              <w:color w:val="auto"/>
            </w:rPr>
          </w:pPr>
        </w:p>
        <w:p w:rsidR="004743D8" w:rsidRPr="004743D8" w:rsidRDefault="00EC0EA7" w:rsidP="004743D8">
          <w:pPr>
            <w:pStyle w:val="TDC1"/>
            <w:rPr>
              <w:rFonts w:asciiTheme="minorHAnsi" w:eastAsiaTheme="minorEastAsia" w:hAnsiTheme="minorHAnsi" w:cstheme="minorBidi"/>
              <w:noProof/>
              <w:color w:val="auto"/>
              <w:lang w:eastAsia="es-CR"/>
            </w:rPr>
          </w:pPr>
          <w:hyperlink w:anchor="_Toc532572764" w:history="1">
            <w:r w:rsidR="004743D8" w:rsidRPr="004743D8">
              <w:rPr>
                <w:rStyle w:val="Hipervnculo"/>
                <w:b/>
                <w:noProof/>
                <w:color w:val="auto"/>
              </w:rPr>
              <w:t>5. PUNTOS ESPECÍFICOS</w:t>
            </w:r>
            <w:r w:rsidR="004743D8" w:rsidRPr="004743D8">
              <w:rPr>
                <w:noProof/>
                <w:webHidden/>
                <w:color w:val="auto"/>
              </w:rPr>
              <w:tab/>
            </w:r>
            <w:r w:rsidR="004743D8" w:rsidRPr="004743D8">
              <w:rPr>
                <w:noProof/>
                <w:webHidden/>
                <w:color w:val="auto"/>
              </w:rPr>
              <w:fldChar w:fldCharType="begin"/>
            </w:r>
            <w:r w:rsidR="004743D8" w:rsidRPr="004743D8">
              <w:rPr>
                <w:noProof/>
                <w:webHidden/>
                <w:color w:val="auto"/>
              </w:rPr>
              <w:instrText xml:space="preserve"> PAGEREF _Toc532572764 \h </w:instrText>
            </w:r>
            <w:r w:rsidR="004743D8" w:rsidRPr="004743D8">
              <w:rPr>
                <w:noProof/>
                <w:webHidden/>
                <w:color w:val="auto"/>
              </w:rPr>
            </w:r>
            <w:r w:rsidR="004743D8" w:rsidRPr="004743D8">
              <w:rPr>
                <w:noProof/>
                <w:webHidden/>
                <w:color w:val="auto"/>
              </w:rPr>
              <w:fldChar w:fldCharType="separate"/>
            </w:r>
            <w:r w:rsidR="004743D8" w:rsidRPr="004743D8">
              <w:rPr>
                <w:noProof/>
                <w:webHidden/>
                <w:color w:val="auto"/>
              </w:rPr>
              <w:t>12</w:t>
            </w:r>
            <w:r w:rsidR="004743D8" w:rsidRPr="004743D8">
              <w:rPr>
                <w:noProof/>
                <w:webHidden/>
                <w:color w:val="auto"/>
              </w:rPr>
              <w:fldChar w:fldCharType="end"/>
            </w:r>
          </w:hyperlink>
        </w:p>
        <w:p w:rsidR="004743D8" w:rsidRPr="004743D8" w:rsidRDefault="004743D8">
          <w:pPr>
            <w:pStyle w:val="TDC2"/>
            <w:tabs>
              <w:tab w:val="right" w:leader="dot" w:pos="8828"/>
            </w:tabs>
            <w:rPr>
              <w:rStyle w:val="Hipervnculo"/>
              <w:noProof/>
              <w:color w:val="auto"/>
            </w:rPr>
          </w:pPr>
        </w:p>
        <w:p w:rsidR="004743D8" w:rsidRPr="004743D8" w:rsidRDefault="00EC0EA7">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572765" w:history="1">
            <w:r w:rsidR="004743D8" w:rsidRPr="004743D8">
              <w:rPr>
                <w:rStyle w:val="Hipervnculo"/>
                <w:noProof/>
                <w:color w:val="auto"/>
              </w:rPr>
              <w:t>4.1 Origen</w:t>
            </w:r>
            <w:r w:rsidR="004743D8" w:rsidRPr="004743D8">
              <w:rPr>
                <w:noProof/>
                <w:webHidden/>
              </w:rPr>
              <w:tab/>
            </w:r>
            <w:r w:rsidR="004743D8" w:rsidRPr="004743D8">
              <w:rPr>
                <w:noProof/>
                <w:webHidden/>
              </w:rPr>
              <w:fldChar w:fldCharType="begin"/>
            </w:r>
            <w:r w:rsidR="004743D8" w:rsidRPr="004743D8">
              <w:rPr>
                <w:noProof/>
                <w:webHidden/>
              </w:rPr>
              <w:instrText xml:space="preserve"> PAGEREF _Toc532572765 \h </w:instrText>
            </w:r>
            <w:r w:rsidR="004743D8" w:rsidRPr="004743D8">
              <w:rPr>
                <w:noProof/>
                <w:webHidden/>
              </w:rPr>
            </w:r>
            <w:r w:rsidR="004743D8" w:rsidRPr="004743D8">
              <w:rPr>
                <w:noProof/>
                <w:webHidden/>
              </w:rPr>
              <w:fldChar w:fldCharType="separate"/>
            </w:r>
            <w:r w:rsidR="004743D8" w:rsidRPr="004743D8">
              <w:rPr>
                <w:noProof/>
                <w:webHidden/>
              </w:rPr>
              <w:t>12</w:t>
            </w:r>
            <w:r w:rsidR="004743D8" w:rsidRPr="004743D8">
              <w:rPr>
                <w:noProof/>
                <w:webHidden/>
              </w:rPr>
              <w:fldChar w:fldCharType="end"/>
            </w:r>
          </w:hyperlink>
        </w:p>
        <w:p w:rsidR="004743D8" w:rsidRPr="004743D8" w:rsidRDefault="00EC0EA7">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572766" w:history="1">
            <w:r w:rsidR="004743D8" w:rsidRPr="004743D8">
              <w:rPr>
                <w:rStyle w:val="Hipervnculo"/>
                <w:noProof/>
                <w:color w:val="auto"/>
              </w:rPr>
              <w:t>4.2 Normativa Aplicable</w:t>
            </w:r>
            <w:r w:rsidR="004743D8" w:rsidRPr="004743D8">
              <w:rPr>
                <w:noProof/>
                <w:webHidden/>
              </w:rPr>
              <w:tab/>
            </w:r>
            <w:r w:rsidR="004743D8" w:rsidRPr="004743D8">
              <w:rPr>
                <w:noProof/>
                <w:webHidden/>
              </w:rPr>
              <w:fldChar w:fldCharType="begin"/>
            </w:r>
            <w:r w:rsidR="004743D8" w:rsidRPr="004743D8">
              <w:rPr>
                <w:noProof/>
                <w:webHidden/>
              </w:rPr>
              <w:instrText xml:space="preserve"> PAGEREF _Toc532572766 \h </w:instrText>
            </w:r>
            <w:r w:rsidR="004743D8" w:rsidRPr="004743D8">
              <w:rPr>
                <w:noProof/>
                <w:webHidden/>
              </w:rPr>
            </w:r>
            <w:r w:rsidR="004743D8" w:rsidRPr="004743D8">
              <w:rPr>
                <w:noProof/>
                <w:webHidden/>
              </w:rPr>
              <w:fldChar w:fldCharType="separate"/>
            </w:r>
            <w:r w:rsidR="004743D8" w:rsidRPr="004743D8">
              <w:rPr>
                <w:noProof/>
                <w:webHidden/>
              </w:rPr>
              <w:t>12</w:t>
            </w:r>
            <w:r w:rsidR="004743D8" w:rsidRPr="004743D8">
              <w:rPr>
                <w:noProof/>
                <w:webHidden/>
              </w:rPr>
              <w:fldChar w:fldCharType="end"/>
            </w:r>
          </w:hyperlink>
        </w:p>
        <w:p w:rsidR="004743D8" w:rsidRPr="004743D8" w:rsidRDefault="004743D8" w:rsidP="004743D8">
          <w:pPr>
            <w:pStyle w:val="TDC1"/>
            <w:rPr>
              <w:rStyle w:val="Hipervnculo"/>
              <w:noProof/>
              <w:color w:val="auto"/>
            </w:rPr>
          </w:pPr>
        </w:p>
        <w:p w:rsidR="004743D8" w:rsidRPr="004743D8" w:rsidRDefault="00EC0EA7" w:rsidP="004743D8">
          <w:pPr>
            <w:pStyle w:val="TDC1"/>
            <w:rPr>
              <w:rFonts w:asciiTheme="minorHAnsi" w:eastAsiaTheme="minorEastAsia" w:hAnsiTheme="minorHAnsi" w:cstheme="minorBidi"/>
              <w:noProof/>
              <w:color w:val="auto"/>
              <w:lang w:eastAsia="es-CR"/>
            </w:rPr>
          </w:pPr>
          <w:hyperlink w:anchor="_Toc532572767" w:history="1">
            <w:r w:rsidR="004743D8" w:rsidRPr="004743D8">
              <w:rPr>
                <w:rStyle w:val="Hipervnculo"/>
                <w:b/>
                <w:noProof/>
                <w:color w:val="auto"/>
              </w:rPr>
              <w:t>6. NOMBRES Y FIRMAS</w:t>
            </w:r>
            <w:r w:rsidR="004743D8" w:rsidRPr="004743D8">
              <w:rPr>
                <w:noProof/>
                <w:webHidden/>
                <w:color w:val="auto"/>
              </w:rPr>
              <w:tab/>
            </w:r>
            <w:r w:rsidR="004743D8" w:rsidRPr="004743D8">
              <w:rPr>
                <w:noProof/>
                <w:webHidden/>
                <w:color w:val="auto"/>
              </w:rPr>
              <w:fldChar w:fldCharType="begin"/>
            </w:r>
            <w:r w:rsidR="004743D8" w:rsidRPr="004743D8">
              <w:rPr>
                <w:noProof/>
                <w:webHidden/>
                <w:color w:val="auto"/>
              </w:rPr>
              <w:instrText xml:space="preserve"> PAGEREF _Toc532572767 \h </w:instrText>
            </w:r>
            <w:r w:rsidR="004743D8" w:rsidRPr="004743D8">
              <w:rPr>
                <w:noProof/>
                <w:webHidden/>
                <w:color w:val="auto"/>
              </w:rPr>
            </w:r>
            <w:r w:rsidR="004743D8" w:rsidRPr="004743D8">
              <w:rPr>
                <w:noProof/>
                <w:webHidden/>
                <w:color w:val="auto"/>
              </w:rPr>
              <w:fldChar w:fldCharType="separate"/>
            </w:r>
            <w:r w:rsidR="004743D8" w:rsidRPr="004743D8">
              <w:rPr>
                <w:noProof/>
                <w:webHidden/>
                <w:color w:val="auto"/>
              </w:rPr>
              <w:t>12</w:t>
            </w:r>
            <w:r w:rsidR="004743D8" w:rsidRPr="004743D8">
              <w:rPr>
                <w:noProof/>
                <w:webHidden/>
                <w:color w:val="auto"/>
              </w:rPr>
              <w:fldChar w:fldCharType="end"/>
            </w:r>
          </w:hyperlink>
        </w:p>
        <w:p w:rsidR="00232A5A" w:rsidRPr="004743D8" w:rsidRDefault="00232A5A" w:rsidP="000D2ABF">
          <w:pPr>
            <w:jc w:val="both"/>
          </w:pPr>
          <w:r w:rsidRPr="004743D8">
            <w:rPr>
              <w:b/>
              <w:bCs/>
            </w:rPr>
            <w:fldChar w:fldCharType="end"/>
          </w:r>
        </w:p>
      </w:sdtContent>
    </w:sdt>
    <w:p w:rsidR="00172B3E" w:rsidRPr="000D2ABF" w:rsidRDefault="00172B3E" w:rsidP="000D2ABF">
      <w:pPr>
        <w:pStyle w:val="Textoindependiente"/>
        <w:widowControl w:val="0"/>
        <w:autoSpaceDE w:val="0"/>
        <w:autoSpaceDN w:val="0"/>
        <w:adjustRightInd w:val="0"/>
        <w:contextualSpacing/>
        <w:rPr>
          <w:rFonts w:ascii="Times New Roman" w:hAnsi="Times New Roman"/>
          <w:b/>
          <w:szCs w:val="24"/>
          <w:lang w:val="es-ES"/>
        </w:rPr>
      </w:pPr>
    </w:p>
    <w:p w:rsidR="00C561FA" w:rsidRPr="000D2ABF" w:rsidRDefault="00C561FA" w:rsidP="000D2ABF">
      <w:pPr>
        <w:pStyle w:val="Textoindependiente"/>
        <w:widowControl w:val="0"/>
        <w:autoSpaceDE w:val="0"/>
        <w:autoSpaceDN w:val="0"/>
        <w:adjustRightInd w:val="0"/>
        <w:contextualSpacing/>
        <w:rPr>
          <w:rFonts w:ascii="Times New Roman" w:hAnsi="Times New Roman"/>
          <w:b/>
          <w:szCs w:val="24"/>
          <w:lang w:val="es-ES"/>
        </w:rPr>
      </w:pPr>
    </w:p>
    <w:p w:rsidR="00C561FA" w:rsidRPr="000D2ABF" w:rsidRDefault="00C561FA" w:rsidP="000D2ABF">
      <w:pPr>
        <w:pStyle w:val="Textoindependiente"/>
        <w:widowControl w:val="0"/>
        <w:autoSpaceDE w:val="0"/>
        <w:autoSpaceDN w:val="0"/>
        <w:adjustRightInd w:val="0"/>
        <w:contextualSpacing/>
        <w:rPr>
          <w:rFonts w:ascii="Times New Roman" w:hAnsi="Times New Roman"/>
          <w:b/>
          <w:szCs w:val="24"/>
          <w:lang w:val="es-ES"/>
        </w:rPr>
      </w:pPr>
    </w:p>
    <w:p w:rsidR="00C561FA" w:rsidRPr="000D2ABF" w:rsidRDefault="00C561FA" w:rsidP="000D2ABF">
      <w:pPr>
        <w:pStyle w:val="Textoindependiente"/>
        <w:widowControl w:val="0"/>
        <w:autoSpaceDE w:val="0"/>
        <w:autoSpaceDN w:val="0"/>
        <w:adjustRightInd w:val="0"/>
        <w:contextualSpacing/>
        <w:rPr>
          <w:rFonts w:ascii="Times New Roman" w:hAnsi="Times New Roman"/>
          <w:b/>
          <w:szCs w:val="24"/>
          <w:lang w:val="es-ES"/>
        </w:rPr>
      </w:pPr>
    </w:p>
    <w:p w:rsidR="00C561FA" w:rsidRPr="000D2ABF" w:rsidRDefault="00C561FA" w:rsidP="000D2ABF">
      <w:pPr>
        <w:pStyle w:val="Textoindependiente"/>
        <w:widowControl w:val="0"/>
        <w:autoSpaceDE w:val="0"/>
        <w:autoSpaceDN w:val="0"/>
        <w:adjustRightInd w:val="0"/>
        <w:contextualSpacing/>
        <w:rPr>
          <w:rFonts w:ascii="Times New Roman" w:hAnsi="Times New Roman"/>
          <w:b/>
          <w:szCs w:val="24"/>
          <w:lang w:val="es-ES"/>
        </w:rPr>
      </w:pPr>
    </w:p>
    <w:p w:rsidR="00C561FA" w:rsidRPr="000D2ABF" w:rsidRDefault="00C561FA" w:rsidP="000D2ABF">
      <w:pPr>
        <w:pStyle w:val="Textoindependiente"/>
        <w:widowControl w:val="0"/>
        <w:autoSpaceDE w:val="0"/>
        <w:autoSpaceDN w:val="0"/>
        <w:adjustRightInd w:val="0"/>
        <w:contextualSpacing/>
        <w:rPr>
          <w:rFonts w:ascii="Times New Roman" w:hAnsi="Times New Roman"/>
          <w:b/>
          <w:szCs w:val="24"/>
          <w:lang w:val="es-ES"/>
        </w:rPr>
      </w:pPr>
    </w:p>
    <w:p w:rsidR="003A0E55" w:rsidRPr="000D2ABF" w:rsidRDefault="003A0E55" w:rsidP="000D2ABF">
      <w:pPr>
        <w:pStyle w:val="Textoindependiente"/>
        <w:widowControl w:val="0"/>
        <w:autoSpaceDE w:val="0"/>
        <w:autoSpaceDN w:val="0"/>
        <w:adjustRightInd w:val="0"/>
        <w:contextualSpacing/>
        <w:rPr>
          <w:rFonts w:ascii="Times New Roman" w:hAnsi="Times New Roman"/>
          <w:b/>
          <w:szCs w:val="24"/>
          <w:lang w:val="es-ES"/>
        </w:rPr>
      </w:pPr>
    </w:p>
    <w:p w:rsidR="003A0E55" w:rsidRPr="000D2ABF" w:rsidRDefault="003A0E55" w:rsidP="000D2ABF">
      <w:pPr>
        <w:pStyle w:val="Textoindependiente"/>
        <w:widowControl w:val="0"/>
        <w:autoSpaceDE w:val="0"/>
        <w:autoSpaceDN w:val="0"/>
        <w:adjustRightInd w:val="0"/>
        <w:contextualSpacing/>
        <w:rPr>
          <w:rFonts w:ascii="Times New Roman" w:hAnsi="Times New Roman"/>
          <w:b/>
          <w:szCs w:val="24"/>
          <w:lang w:val="es-ES"/>
        </w:rPr>
      </w:pPr>
    </w:p>
    <w:p w:rsidR="003A0E55" w:rsidRPr="000D2ABF" w:rsidRDefault="003A0E55" w:rsidP="000D2ABF">
      <w:pPr>
        <w:pStyle w:val="Textoindependiente"/>
        <w:widowControl w:val="0"/>
        <w:autoSpaceDE w:val="0"/>
        <w:autoSpaceDN w:val="0"/>
        <w:adjustRightInd w:val="0"/>
        <w:contextualSpacing/>
        <w:rPr>
          <w:rFonts w:ascii="Times New Roman" w:hAnsi="Times New Roman"/>
          <w:b/>
          <w:szCs w:val="24"/>
          <w:lang w:val="es-ES"/>
        </w:rPr>
      </w:pPr>
    </w:p>
    <w:p w:rsidR="003A0E55" w:rsidRPr="000D2ABF" w:rsidRDefault="003A0E55" w:rsidP="000D2ABF">
      <w:pPr>
        <w:pStyle w:val="Textoindependiente"/>
        <w:widowControl w:val="0"/>
        <w:autoSpaceDE w:val="0"/>
        <w:autoSpaceDN w:val="0"/>
        <w:adjustRightInd w:val="0"/>
        <w:contextualSpacing/>
        <w:rPr>
          <w:rFonts w:ascii="Times New Roman" w:hAnsi="Times New Roman"/>
          <w:b/>
          <w:szCs w:val="24"/>
          <w:lang w:val="es-ES"/>
        </w:rPr>
      </w:pPr>
    </w:p>
    <w:p w:rsidR="00C561FA" w:rsidRPr="000D2ABF" w:rsidRDefault="00C561FA" w:rsidP="000D2ABF">
      <w:pPr>
        <w:pStyle w:val="Textoindependiente"/>
        <w:widowControl w:val="0"/>
        <w:autoSpaceDE w:val="0"/>
        <w:autoSpaceDN w:val="0"/>
        <w:adjustRightInd w:val="0"/>
        <w:contextualSpacing/>
        <w:rPr>
          <w:rFonts w:ascii="Times New Roman" w:hAnsi="Times New Roman"/>
          <w:b/>
          <w:szCs w:val="24"/>
          <w:lang w:val="es-ES"/>
        </w:rPr>
      </w:pPr>
    </w:p>
    <w:p w:rsidR="00C561FA" w:rsidRPr="000D2ABF" w:rsidRDefault="00C561FA" w:rsidP="000D2ABF">
      <w:pPr>
        <w:pStyle w:val="Textoindependiente"/>
        <w:widowControl w:val="0"/>
        <w:autoSpaceDE w:val="0"/>
        <w:autoSpaceDN w:val="0"/>
        <w:adjustRightInd w:val="0"/>
        <w:contextualSpacing/>
        <w:rPr>
          <w:rFonts w:ascii="Times New Roman" w:hAnsi="Times New Roman"/>
          <w:b/>
          <w:szCs w:val="24"/>
          <w:lang w:val="es-ES"/>
        </w:rPr>
      </w:pPr>
    </w:p>
    <w:p w:rsidR="00C561FA" w:rsidRPr="000D2ABF" w:rsidRDefault="00C561FA" w:rsidP="000D2ABF">
      <w:pPr>
        <w:pStyle w:val="Textoindependiente"/>
        <w:widowControl w:val="0"/>
        <w:autoSpaceDE w:val="0"/>
        <w:autoSpaceDN w:val="0"/>
        <w:adjustRightInd w:val="0"/>
        <w:contextualSpacing/>
        <w:rPr>
          <w:rFonts w:ascii="Times New Roman" w:hAnsi="Times New Roman"/>
          <w:b/>
          <w:szCs w:val="24"/>
          <w:lang w:val="es-ES"/>
        </w:rPr>
      </w:pPr>
    </w:p>
    <w:p w:rsidR="00C561FA" w:rsidRPr="000D2ABF" w:rsidRDefault="00C561FA" w:rsidP="000D2ABF">
      <w:pPr>
        <w:pStyle w:val="Textoindependiente"/>
        <w:widowControl w:val="0"/>
        <w:autoSpaceDE w:val="0"/>
        <w:autoSpaceDN w:val="0"/>
        <w:adjustRightInd w:val="0"/>
        <w:contextualSpacing/>
        <w:rPr>
          <w:rFonts w:ascii="Times New Roman" w:hAnsi="Times New Roman"/>
          <w:b/>
          <w:szCs w:val="24"/>
          <w:lang w:val="es-ES"/>
        </w:rPr>
      </w:pPr>
    </w:p>
    <w:p w:rsidR="00C561FA" w:rsidRPr="000D2ABF" w:rsidRDefault="00C561FA" w:rsidP="000D2ABF">
      <w:pPr>
        <w:pStyle w:val="Textoindependiente"/>
        <w:widowControl w:val="0"/>
        <w:autoSpaceDE w:val="0"/>
        <w:autoSpaceDN w:val="0"/>
        <w:adjustRightInd w:val="0"/>
        <w:contextualSpacing/>
        <w:rPr>
          <w:rFonts w:ascii="Times New Roman" w:hAnsi="Times New Roman"/>
          <w:b/>
          <w:szCs w:val="24"/>
          <w:lang w:val="es-ES"/>
        </w:rPr>
      </w:pPr>
    </w:p>
    <w:p w:rsidR="00C561FA" w:rsidRPr="000D2ABF" w:rsidRDefault="00C561FA" w:rsidP="000D2ABF">
      <w:pPr>
        <w:pStyle w:val="Textoindependiente"/>
        <w:widowControl w:val="0"/>
        <w:autoSpaceDE w:val="0"/>
        <w:autoSpaceDN w:val="0"/>
        <w:adjustRightInd w:val="0"/>
        <w:contextualSpacing/>
        <w:rPr>
          <w:rFonts w:ascii="Times New Roman" w:hAnsi="Times New Roman"/>
          <w:b/>
          <w:szCs w:val="24"/>
          <w:lang w:val="es-ES"/>
        </w:rPr>
      </w:pPr>
    </w:p>
    <w:p w:rsidR="00C561FA" w:rsidRPr="000D2ABF" w:rsidRDefault="00C561FA" w:rsidP="000D2ABF">
      <w:pPr>
        <w:pStyle w:val="Textoindependiente"/>
        <w:widowControl w:val="0"/>
        <w:autoSpaceDE w:val="0"/>
        <w:autoSpaceDN w:val="0"/>
        <w:adjustRightInd w:val="0"/>
        <w:contextualSpacing/>
        <w:rPr>
          <w:rFonts w:ascii="Times New Roman" w:hAnsi="Times New Roman"/>
          <w:b/>
          <w:szCs w:val="24"/>
          <w:lang w:val="es-ES"/>
        </w:rPr>
      </w:pPr>
    </w:p>
    <w:p w:rsidR="00453D12" w:rsidRPr="002100F9" w:rsidRDefault="00453D12" w:rsidP="002100F9">
      <w:pPr>
        <w:pStyle w:val="Ttulo1"/>
        <w:jc w:val="both"/>
        <w:rPr>
          <w:rFonts w:ascii="Times New Roman" w:hAnsi="Times New Roman" w:cs="Times New Roman"/>
          <w:b/>
          <w:color w:val="auto"/>
          <w:sz w:val="24"/>
          <w:szCs w:val="24"/>
        </w:rPr>
      </w:pPr>
      <w:bookmarkStart w:id="0" w:name="_Toc532572757"/>
      <w:r w:rsidRPr="000D2ABF">
        <w:rPr>
          <w:rFonts w:ascii="Times New Roman" w:hAnsi="Times New Roman" w:cs="Times New Roman"/>
          <w:b/>
          <w:color w:val="auto"/>
          <w:sz w:val="24"/>
          <w:szCs w:val="24"/>
        </w:rPr>
        <w:lastRenderedPageBreak/>
        <w:t>1. INTRODUCCIÓN</w:t>
      </w:r>
      <w:bookmarkEnd w:id="0"/>
      <w:r w:rsidRPr="000D2ABF">
        <w:rPr>
          <w:b/>
        </w:rPr>
        <w:tab/>
      </w:r>
    </w:p>
    <w:p w:rsidR="00453D12" w:rsidRPr="000D2ABF" w:rsidRDefault="00453D12" w:rsidP="000D2ABF">
      <w:pPr>
        <w:pStyle w:val="Ttulo2"/>
        <w:numPr>
          <w:ilvl w:val="1"/>
          <w:numId w:val="3"/>
        </w:numPr>
        <w:jc w:val="both"/>
        <w:rPr>
          <w:sz w:val="24"/>
          <w:szCs w:val="24"/>
        </w:rPr>
      </w:pPr>
      <w:bookmarkStart w:id="1" w:name="_Toc532572758"/>
      <w:r w:rsidRPr="000D2ABF">
        <w:rPr>
          <w:sz w:val="24"/>
          <w:szCs w:val="24"/>
        </w:rPr>
        <w:t>Objetivo General</w:t>
      </w:r>
      <w:bookmarkEnd w:id="1"/>
    </w:p>
    <w:p w:rsidR="0065184E" w:rsidRPr="000D2ABF" w:rsidRDefault="000D2ABF" w:rsidP="000D2ABF">
      <w:pPr>
        <w:jc w:val="both"/>
      </w:pPr>
      <w:r>
        <w:t>Retomar el proceso de seguimiento de la implementación de las recomendaciones emitidas</w:t>
      </w:r>
      <w:r w:rsidRPr="000D2ABF">
        <w:t xml:space="preserve"> por la Dirección de Auditoría Interna, en el Informe 47-10 Hospicio de Huérfanos de San José.</w:t>
      </w:r>
    </w:p>
    <w:p w:rsidR="00453D12" w:rsidRPr="000D2ABF" w:rsidRDefault="00453D12" w:rsidP="000D2ABF">
      <w:pPr>
        <w:pStyle w:val="Ttulo2"/>
        <w:numPr>
          <w:ilvl w:val="1"/>
          <w:numId w:val="3"/>
        </w:numPr>
        <w:jc w:val="both"/>
        <w:rPr>
          <w:sz w:val="24"/>
          <w:szCs w:val="24"/>
        </w:rPr>
      </w:pPr>
      <w:bookmarkStart w:id="2" w:name="_Toc532572759"/>
      <w:r w:rsidRPr="000D2ABF">
        <w:rPr>
          <w:sz w:val="24"/>
          <w:szCs w:val="24"/>
        </w:rPr>
        <w:t>Alcance</w:t>
      </w:r>
      <w:bookmarkEnd w:id="2"/>
      <w:r w:rsidRPr="000D2ABF">
        <w:rPr>
          <w:sz w:val="24"/>
          <w:szCs w:val="24"/>
        </w:rPr>
        <w:t xml:space="preserve"> </w:t>
      </w:r>
    </w:p>
    <w:p w:rsidR="0065184E" w:rsidRPr="000D2ABF" w:rsidRDefault="000D2ABF" w:rsidP="000D2ABF">
      <w:pPr>
        <w:jc w:val="both"/>
      </w:pPr>
      <w:r w:rsidRPr="000D2ABF">
        <w:t>El seguimiento abarcó la verificación de la aplicación de las recomendaciones emitidas en el Informe 47-10 Hospicio de Huérfanos de San José, por medio del análisis documental de la información suministrada por parte del auditado y la visita que el Departamento de Auditoría de Evaluación y Cumplimiento realizó a las oficinas del Hospicio</w:t>
      </w:r>
      <w:r w:rsidR="002100F9">
        <w:t>,</w:t>
      </w:r>
      <w:r w:rsidRPr="000D2ABF">
        <w:t xml:space="preserve"> en la cual se efectuó una entrevista con el administrador y dos educadoras.</w:t>
      </w:r>
    </w:p>
    <w:p w:rsidR="000D2ABF" w:rsidRPr="000D2ABF" w:rsidRDefault="000D2ABF" w:rsidP="000D2ABF">
      <w:pPr>
        <w:jc w:val="both"/>
      </w:pPr>
    </w:p>
    <w:p w:rsidR="000D2ABF" w:rsidRPr="000D2ABF" w:rsidRDefault="000D2ABF" w:rsidP="000D2ABF">
      <w:pPr>
        <w:jc w:val="both"/>
      </w:pPr>
      <w:r w:rsidRPr="000D2ABF">
        <w:t>La comprobación se efectuó por medio de la información recibida, el análisis de documentos obtenidos y el trabajo de campo respectivo. El estudio de seguimiento fue realizado por el Lic. Eric Rivas Ellis, bajo la dirección de la Licda. Alba Camacho De la O, Jefe de Departamento de Evaluación y Cumplimiento.</w:t>
      </w:r>
    </w:p>
    <w:p w:rsidR="000D2ABF" w:rsidRPr="000D2ABF" w:rsidRDefault="000D2ABF" w:rsidP="000D2ABF">
      <w:pPr>
        <w:jc w:val="both"/>
      </w:pPr>
    </w:p>
    <w:p w:rsidR="00453D12" w:rsidRPr="000D2ABF" w:rsidRDefault="00453D12" w:rsidP="000D2ABF">
      <w:pPr>
        <w:pStyle w:val="Ttulo2"/>
        <w:jc w:val="both"/>
        <w:rPr>
          <w:sz w:val="24"/>
          <w:szCs w:val="24"/>
        </w:rPr>
      </w:pPr>
      <w:bookmarkStart w:id="3" w:name="_Toc532572760"/>
      <w:r w:rsidRPr="000D2ABF">
        <w:rPr>
          <w:sz w:val="24"/>
          <w:szCs w:val="24"/>
        </w:rPr>
        <w:t>1.3 Antecedentes</w:t>
      </w:r>
      <w:bookmarkEnd w:id="3"/>
      <w:r w:rsidRPr="000D2ABF">
        <w:rPr>
          <w:sz w:val="24"/>
          <w:szCs w:val="24"/>
        </w:rPr>
        <w:t xml:space="preserve"> </w:t>
      </w:r>
    </w:p>
    <w:p w:rsidR="000D2ABF" w:rsidRPr="000D2ABF" w:rsidRDefault="000D2ABF" w:rsidP="000D2ABF">
      <w:pPr>
        <w:jc w:val="both"/>
        <w:rPr>
          <w:bCs/>
        </w:rPr>
      </w:pPr>
      <w:r w:rsidRPr="000D2ABF">
        <w:rPr>
          <w:bCs/>
        </w:rPr>
        <w:t xml:space="preserve">En el informe 47-10 se concluyó </w:t>
      </w:r>
      <w:r w:rsidR="002100F9">
        <w:rPr>
          <w:bCs/>
        </w:rPr>
        <w:t>“</w:t>
      </w:r>
      <w:r w:rsidRPr="002100F9">
        <w:rPr>
          <w:bCs/>
          <w:i/>
        </w:rPr>
        <w:t>que</w:t>
      </w:r>
      <w:r w:rsidRPr="002100F9">
        <w:rPr>
          <w:i/>
        </w:rPr>
        <w:t xml:space="preserve"> </w:t>
      </w:r>
      <w:r w:rsidRPr="002100F9">
        <w:rPr>
          <w:bCs/>
          <w:i/>
        </w:rPr>
        <w:t xml:space="preserve">las </w:t>
      </w:r>
      <w:r w:rsidRPr="002100F9">
        <w:rPr>
          <w:i/>
          <w:lang w:val="es-MX"/>
        </w:rPr>
        <w:t xml:space="preserve">transferencias de subsidios a organizaciones sociales como el Hospicio de Huérfanos de San José, adolece de la falta de definición de un marco regulatorio debidamente identificable, lo cual es contrario al principio de legalidad que rige la Administración Pública. Tal inconsistencia repercute en un vacío operativo de parámetros de ejecución y de procedimientos de control que permitan </w:t>
      </w:r>
      <w:r w:rsidRPr="002100F9">
        <w:rPr>
          <w:i/>
        </w:rPr>
        <w:t xml:space="preserve">delimitar la responsabilidad por el cumplimiento de las obligaciones que demuestre el grado de utilización óptima de los recursos recibidos. </w:t>
      </w:r>
      <w:r w:rsidRPr="002100F9">
        <w:rPr>
          <w:i/>
          <w:lang w:val="es-MX"/>
        </w:rPr>
        <w:t>En consecuencia, éstos se administran sin ningún proceso de rendición de cuentas y en la práctica, sin alcanzar ninguna cohesión con los estándares de eficacia involucrados en la misión institucional del MEP</w:t>
      </w:r>
      <w:r w:rsidRPr="000D2ABF">
        <w:rPr>
          <w:lang w:val="es-MX"/>
        </w:rPr>
        <w:t>.</w:t>
      </w:r>
      <w:r w:rsidR="002100F9">
        <w:rPr>
          <w:lang w:val="es-MX"/>
        </w:rPr>
        <w:t>”</w:t>
      </w:r>
      <w:r w:rsidRPr="000D2ABF">
        <w:t xml:space="preserve"> </w:t>
      </w:r>
    </w:p>
    <w:p w:rsidR="000D2ABF" w:rsidRPr="000D2ABF" w:rsidRDefault="000D2ABF" w:rsidP="000D2ABF">
      <w:pPr>
        <w:jc w:val="both"/>
      </w:pPr>
    </w:p>
    <w:p w:rsidR="000D2ABF" w:rsidRPr="000D2ABF" w:rsidRDefault="000D2ABF" w:rsidP="000D2ABF">
      <w:pPr>
        <w:jc w:val="both"/>
      </w:pPr>
      <w:r w:rsidRPr="000D2ABF">
        <w:t>Para verificar el grado de implementación de las recomendaciones giradas en el mencionado informe de auditoría, se realizó la solicitud de información al Despacho de la Viceministra Administrativa, al Director de Planificación Institucional, a la Directora de Recursos Humanos y al Director de Asuntos Jurídicos</w:t>
      </w:r>
      <w:r>
        <w:t xml:space="preserve">. </w:t>
      </w:r>
      <w:r w:rsidRPr="000D2ABF">
        <w:t xml:space="preserve"> </w:t>
      </w:r>
    </w:p>
    <w:p w:rsidR="00453D12" w:rsidRPr="000D2ABF" w:rsidRDefault="00453D12" w:rsidP="000D2ABF">
      <w:pPr>
        <w:jc w:val="both"/>
      </w:pPr>
    </w:p>
    <w:p w:rsidR="00453D12" w:rsidRPr="000D2ABF" w:rsidRDefault="00453D12" w:rsidP="000D2ABF">
      <w:pPr>
        <w:pStyle w:val="Ttulo1"/>
        <w:jc w:val="both"/>
        <w:rPr>
          <w:rFonts w:ascii="Times New Roman" w:hAnsi="Times New Roman" w:cs="Times New Roman"/>
          <w:b/>
          <w:color w:val="auto"/>
          <w:sz w:val="24"/>
          <w:szCs w:val="24"/>
        </w:rPr>
      </w:pPr>
      <w:bookmarkStart w:id="4" w:name="_Toc532572761"/>
      <w:r w:rsidRPr="000D2ABF">
        <w:rPr>
          <w:rFonts w:ascii="Times New Roman" w:hAnsi="Times New Roman" w:cs="Times New Roman"/>
          <w:b/>
          <w:color w:val="auto"/>
          <w:sz w:val="24"/>
          <w:szCs w:val="24"/>
        </w:rPr>
        <w:t>2. HALLAZGOS Y RECOMENDACIONES</w:t>
      </w:r>
      <w:bookmarkEnd w:id="4"/>
      <w:r w:rsidRPr="000D2ABF">
        <w:rPr>
          <w:rFonts w:ascii="Times New Roman" w:hAnsi="Times New Roman" w:cs="Times New Roman"/>
          <w:b/>
          <w:color w:val="auto"/>
          <w:sz w:val="24"/>
          <w:szCs w:val="24"/>
        </w:rPr>
        <w:t xml:space="preserve"> </w:t>
      </w:r>
    </w:p>
    <w:p w:rsidR="00232A5A" w:rsidRDefault="00232A5A" w:rsidP="000D2ABF">
      <w:pPr>
        <w:jc w:val="both"/>
        <w:rPr>
          <w:bCs/>
        </w:rPr>
      </w:pPr>
    </w:p>
    <w:p w:rsidR="000D2ABF" w:rsidRDefault="000D2ABF" w:rsidP="000D2ABF">
      <w:pPr>
        <w:jc w:val="both"/>
      </w:pPr>
      <w:r>
        <w:t xml:space="preserve">A </w:t>
      </w:r>
      <w:r w:rsidRPr="000D2ABF">
        <w:t>continuación, se transcriben cada una de las recomendaciones del Informe 47-10, y las actividades  realizadas desde entonces a la fecha con el fin de determinar el grado de implementación de las mismas.</w:t>
      </w:r>
    </w:p>
    <w:p w:rsidR="000D2ABF" w:rsidRDefault="000D2ABF" w:rsidP="000D2ABF">
      <w:pPr>
        <w:jc w:val="both"/>
      </w:pPr>
    </w:p>
    <w:p w:rsidR="000D2ABF" w:rsidRPr="000D2ABF" w:rsidRDefault="000D2ABF" w:rsidP="000D2ABF">
      <w:pPr>
        <w:ind w:left="567"/>
        <w:jc w:val="both"/>
        <w:rPr>
          <w:b/>
          <w:sz w:val="22"/>
          <w:szCs w:val="22"/>
        </w:rPr>
      </w:pPr>
      <w:r w:rsidRPr="000D2ABF">
        <w:rPr>
          <w:b/>
          <w:sz w:val="22"/>
          <w:szCs w:val="22"/>
        </w:rPr>
        <w:lastRenderedPageBreak/>
        <w:t>A la Viceministra Administrativa</w:t>
      </w:r>
    </w:p>
    <w:p w:rsidR="000D2ABF" w:rsidRPr="000D2ABF" w:rsidRDefault="000D2ABF" w:rsidP="000D2ABF">
      <w:pPr>
        <w:ind w:left="567"/>
        <w:jc w:val="both"/>
        <w:rPr>
          <w:bCs/>
          <w:sz w:val="22"/>
          <w:szCs w:val="22"/>
        </w:rPr>
      </w:pPr>
    </w:p>
    <w:p w:rsidR="000D2ABF" w:rsidRPr="002100F9" w:rsidRDefault="000D2ABF" w:rsidP="000D2ABF">
      <w:pPr>
        <w:ind w:left="567"/>
        <w:jc w:val="both"/>
        <w:rPr>
          <w:i/>
          <w:sz w:val="22"/>
          <w:szCs w:val="22"/>
        </w:rPr>
      </w:pPr>
      <w:r w:rsidRPr="002100F9">
        <w:rPr>
          <w:b/>
          <w:i/>
          <w:sz w:val="22"/>
          <w:szCs w:val="22"/>
        </w:rPr>
        <w:t>4.1</w:t>
      </w:r>
      <w:r w:rsidRPr="002100F9">
        <w:rPr>
          <w:i/>
          <w:sz w:val="22"/>
          <w:szCs w:val="22"/>
        </w:rPr>
        <w:t xml:space="preserve"> Elevar a los órganos de decisión correspondiente el análisis de la suspensión de transferencia de recursos de plazas docentes al HHSJ y sopesar la alternativa de incorporar los niños en edad escolar, que están a cargo de este Hospicio, en las escuelas públicas periféricas correspondientes. Con ello se atiende el espíritu de apoyar el cumplimiento del Código de la Niñez y la Adolescencia que en su artículo 31, establece la obligación de respetar los derechos de sus hijos e hijas, en especial con su mantenimiento en el sistema educativo formal.</w:t>
      </w:r>
    </w:p>
    <w:p w:rsidR="000D2ABF" w:rsidRPr="000D2ABF" w:rsidRDefault="000D2ABF" w:rsidP="000D2ABF">
      <w:pPr>
        <w:jc w:val="both"/>
      </w:pPr>
    </w:p>
    <w:p w:rsidR="000D2ABF" w:rsidRPr="000D2ABF" w:rsidRDefault="000D2ABF" w:rsidP="000D2ABF">
      <w:pPr>
        <w:jc w:val="both"/>
      </w:pPr>
      <w:r w:rsidRPr="000D2ABF">
        <w:t xml:space="preserve">En la visita que se realizó al Hospicio de Huérfanos de San José, se logró evidenciar que cuentan con una matrícula de 57 niños, los cuales reciben lecciones en dos centros educativos cercanos: A la Escuela Filomena Blanco de Quirós asisten 42 niños y a la Escuela Roberto </w:t>
      </w:r>
      <w:proofErr w:type="spellStart"/>
      <w:r w:rsidRPr="000D2ABF">
        <w:t>Cantillano</w:t>
      </w:r>
      <w:proofErr w:type="spellEnd"/>
      <w:r w:rsidRPr="000D2ABF">
        <w:t xml:space="preserve"> </w:t>
      </w:r>
      <w:proofErr w:type="spellStart"/>
      <w:r w:rsidRPr="000D2ABF">
        <w:t>Vindas</w:t>
      </w:r>
      <w:proofErr w:type="spellEnd"/>
      <w:r w:rsidRPr="000D2ABF">
        <w:t>, asisten 12 en el siguiente cuadro, se detalla la cantidad de niños por centro educativo y su respectivo nivel.</w:t>
      </w:r>
    </w:p>
    <w:p w:rsidR="000D2ABF" w:rsidRPr="000D2ABF" w:rsidRDefault="000D2ABF" w:rsidP="000D2ABF">
      <w:pPr>
        <w:jc w:val="both"/>
      </w:pPr>
    </w:p>
    <w:tbl>
      <w:tblPr>
        <w:tblStyle w:val="Tabladecuadrcula4-nfasis11"/>
        <w:tblW w:w="7654" w:type="dxa"/>
        <w:jc w:val="center"/>
        <w:tblLayout w:type="fixed"/>
        <w:tblLook w:val="04A0" w:firstRow="1" w:lastRow="0" w:firstColumn="1" w:lastColumn="0" w:noHBand="0" w:noVBand="1"/>
      </w:tblPr>
      <w:tblGrid>
        <w:gridCol w:w="968"/>
        <w:gridCol w:w="1862"/>
        <w:gridCol w:w="997"/>
        <w:gridCol w:w="425"/>
        <w:gridCol w:w="421"/>
        <w:gridCol w:w="567"/>
        <w:gridCol w:w="567"/>
        <w:gridCol w:w="425"/>
        <w:gridCol w:w="567"/>
        <w:gridCol w:w="855"/>
      </w:tblGrid>
      <w:tr w:rsidR="000D2ABF" w:rsidRPr="000D2ABF" w:rsidTr="00FE7291">
        <w:trPr>
          <w:cnfStyle w:val="100000000000" w:firstRow="1" w:lastRow="0" w:firstColumn="0" w:lastColumn="0" w:oddVBand="0" w:evenVBand="0" w:oddHBand="0"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68" w:type="dxa"/>
          </w:tcPr>
          <w:p w:rsidR="000D2ABF" w:rsidRPr="000D2ABF" w:rsidRDefault="000D2ABF" w:rsidP="000D2ABF">
            <w:pPr>
              <w:jc w:val="both"/>
            </w:pPr>
          </w:p>
        </w:tc>
        <w:tc>
          <w:tcPr>
            <w:tcW w:w="6686" w:type="dxa"/>
            <w:gridSpan w:val="9"/>
            <w:vAlign w:val="center"/>
          </w:tcPr>
          <w:p w:rsidR="000D2ABF" w:rsidRPr="000D2ABF" w:rsidRDefault="000D2ABF" w:rsidP="004379A4">
            <w:pPr>
              <w:jc w:val="center"/>
              <w:cnfStyle w:val="100000000000" w:firstRow="1" w:lastRow="0" w:firstColumn="0" w:lastColumn="0" w:oddVBand="0" w:evenVBand="0" w:oddHBand="0" w:evenHBand="0" w:firstRowFirstColumn="0" w:firstRowLastColumn="0" w:lastRowFirstColumn="0" w:lastRowLastColumn="0"/>
            </w:pPr>
            <w:r w:rsidRPr="000D2ABF">
              <w:t>Cuadro N° 1</w:t>
            </w:r>
          </w:p>
        </w:tc>
      </w:tr>
      <w:tr w:rsidR="000D2ABF" w:rsidRPr="000D2ABF" w:rsidTr="00FE729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68" w:type="dxa"/>
          </w:tcPr>
          <w:p w:rsidR="000D2ABF" w:rsidRPr="000D2ABF" w:rsidRDefault="000D2ABF" w:rsidP="000D2ABF">
            <w:pPr>
              <w:jc w:val="both"/>
            </w:pPr>
          </w:p>
        </w:tc>
        <w:tc>
          <w:tcPr>
            <w:tcW w:w="6686" w:type="dxa"/>
            <w:gridSpan w:val="9"/>
            <w:vAlign w:val="center"/>
          </w:tcPr>
          <w:p w:rsidR="000D2ABF" w:rsidRPr="000D2ABF" w:rsidRDefault="000D2ABF" w:rsidP="004379A4">
            <w:pPr>
              <w:jc w:val="center"/>
              <w:cnfStyle w:val="000000100000" w:firstRow="0" w:lastRow="0" w:firstColumn="0" w:lastColumn="0" w:oddVBand="0" w:evenVBand="0" w:oddHBand="1" w:evenHBand="0" w:firstRowFirstColumn="0" w:firstRowLastColumn="0" w:lastRowFirstColumn="0" w:lastRowLastColumn="0"/>
              <w:rPr>
                <w:b/>
              </w:rPr>
            </w:pPr>
            <w:r w:rsidRPr="000D2ABF">
              <w:rPr>
                <w:b/>
              </w:rPr>
              <w:t>Distribución de Estudiantes</w:t>
            </w:r>
          </w:p>
        </w:tc>
      </w:tr>
      <w:tr w:rsidR="000D2ABF" w:rsidRPr="000D2ABF" w:rsidTr="00FE7291">
        <w:trPr>
          <w:trHeight w:val="250"/>
          <w:jc w:val="center"/>
        </w:trPr>
        <w:tc>
          <w:tcPr>
            <w:cnfStyle w:val="001000000000" w:firstRow="0" w:lastRow="0" w:firstColumn="1" w:lastColumn="0" w:oddVBand="0" w:evenVBand="0" w:oddHBand="0" w:evenHBand="0" w:firstRowFirstColumn="0" w:firstRowLastColumn="0" w:lastRowFirstColumn="0" w:lastRowLastColumn="0"/>
            <w:tcW w:w="968" w:type="dxa"/>
          </w:tcPr>
          <w:p w:rsidR="000D2ABF" w:rsidRPr="000D2ABF" w:rsidRDefault="000D2ABF" w:rsidP="000D2ABF">
            <w:pPr>
              <w:jc w:val="both"/>
            </w:pPr>
            <w:r w:rsidRPr="000D2ABF">
              <w:t>Código</w:t>
            </w:r>
          </w:p>
        </w:tc>
        <w:tc>
          <w:tcPr>
            <w:tcW w:w="1862"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b/>
              </w:rPr>
            </w:pPr>
            <w:r w:rsidRPr="000D2ABF">
              <w:rPr>
                <w:b/>
              </w:rPr>
              <w:t>Centro Educativo</w:t>
            </w:r>
          </w:p>
        </w:tc>
        <w:tc>
          <w:tcPr>
            <w:tcW w:w="997"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b/>
              </w:rPr>
            </w:pPr>
            <w:r w:rsidRPr="000D2ABF">
              <w:rPr>
                <w:b/>
              </w:rPr>
              <w:t>Kínder</w:t>
            </w:r>
          </w:p>
        </w:tc>
        <w:tc>
          <w:tcPr>
            <w:tcW w:w="425"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b/>
              </w:rPr>
            </w:pPr>
            <w:r w:rsidRPr="000D2ABF">
              <w:rPr>
                <w:b/>
              </w:rPr>
              <w:t>I</w:t>
            </w:r>
          </w:p>
        </w:tc>
        <w:tc>
          <w:tcPr>
            <w:tcW w:w="421"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b/>
              </w:rPr>
            </w:pPr>
            <w:r w:rsidRPr="000D2ABF">
              <w:rPr>
                <w:b/>
              </w:rPr>
              <w:t>II</w:t>
            </w:r>
          </w:p>
        </w:tc>
        <w:tc>
          <w:tcPr>
            <w:tcW w:w="567"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b/>
              </w:rPr>
            </w:pPr>
            <w:r w:rsidRPr="000D2ABF">
              <w:rPr>
                <w:b/>
              </w:rPr>
              <w:t>III</w:t>
            </w:r>
          </w:p>
        </w:tc>
        <w:tc>
          <w:tcPr>
            <w:tcW w:w="567"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b/>
              </w:rPr>
            </w:pPr>
            <w:r w:rsidRPr="000D2ABF">
              <w:rPr>
                <w:b/>
              </w:rPr>
              <w:t>IV</w:t>
            </w:r>
          </w:p>
        </w:tc>
        <w:tc>
          <w:tcPr>
            <w:tcW w:w="425"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b/>
              </w:rPr>
            </w:pPr>
            <w:r w:rsidRPr="000D2ABF">
              <w:rPr>
                <w:b/>
              </w:rPr>
              <w:t>V</w:t>
            </w:r>
          </w:p>
        </w:tc>
        <w:tc>
          <w:tcPr>
            <w:tcW w:w="567"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b/>
              </w:rPr>
            </w:pPr>
            <w:r w:rsidRPr="000D2ABF">
              <w:rPr>
                <w:b/>
              </w:rPr>
              <w:t>VI</w:t>
            </w:r>
          </w:p>
        </w:tc>
        <w:tc>
          <w:tcPr>
            <w:tcW w:w="855"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b/>
              </w:rPr>
            </w:pPr>
            <w:r w:rsidRPr="000D2ABF">
              <w:rPr>
                <w:b/>
              </w:rPr>
              <w:t>Total</w:t>
            </w:r>
          </w:p>
        </w:tc>
      </w:tr>
      <w:tr w:rsidR="004379A4" w:rsidRPr="000D2ABF" w:rsidTr="00FE729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68" w:type="dxa"/>
            <w:vAlign w:val="center"/>
          </w:tcPr>
          <w:p w:rsidR="000D2ABF" w:rsidRPr="000D2ABF" w:rsidRDefault="000D2ABF" w:rsidP="000D2ABF">
            <w:pPr>
              <w:jc w:val="both"/>
              <w:rPr>
                <w:b w:val="0"/>
              </w:rPr>
            </w:pPr>
            <w:r w:rsidRPr="000D2ABF">
              <w:rPr>
                <w:b w:val="0"/>
              </w:rPr>
              <w:t>0444</w:t>
            </w:r>
          </w:p>
        </w:tc>
        <w:tc>
          <w:tcPr>
            <w:tcW w:w="1862" w:type="dxa"/>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pPr>
            <w:r w:rsidRPr="000D2ABF">
              <w:t xml:space="preserve">Esc. Filomena Blanco </w:t>
            </w:r>
          </w:p>
        </w:tc>
        <w:tc>
          <w:tcPr>
            <w:tcW w:w="997" w:type="dxa"/>
            <w:vAlign w:val="center"/>
          </w:tcPr>
          <w:p w:rsidR="000D2ABF" w:rsidRPr="000D2ABF" w:rsidRDefault="000D2ABF" w:rsidP="004379A4">
            <w:pPr>
              <w:jc w:val="center"/>
              <w:cnfStyle w:val="000000100000" w:firstRow="0" w:lastRow="0" w:firstColumn="0" w:lastColumn="0" w:oddVBand="0" w:evenVBand="0" w:oddHBand="1" w:evenHBand="0" w:firstRowFirstColumn="0" w:firstRowLastColumn="0" w:lastRowFirstColumn="0" w:lastRowLastColumn="0"/>
            </w:pPr>
            <w:r w:rsidRPr="000D2ABF">
              <w:t>6</w:t>
            </w:r>
          </w:p>
        </w:tc>
        <w:tc>
          <w:tcPr>
            <w:tcW w:w="425" w:type="dxa"/>
            <w:vAlign w:val="center"/>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pPr>
            <w:r w:rsidRPr="000D2ABF">
              <w:t>11</w:t>
            </w:r>
          </w:p>
        </w:tc>
        <w:tc>
          <w:tcPr>
            <w:tcW w:w="421" w:type="dxa"/>
            <w:vAlign w:val="center"/>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pPr>
            <w:r w:rsidRPr="000D2ABF">
              <w:t>11</w:t>
            </w:r>
          </w:p>
        </w:tc>
        <w:tc>
          <w:tcPr>
            <w:tcW w:w="567" w:type="dxa"/>
            <w:vAlign w:val="center"/>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pPr>
            <w:r w:rsidRPr="000D2ABF">
              <w:t>7</w:t>
            </w:r>
          </w:p>
        </w:tc>
        <w:tc>
          <w:tcPr>
            <w:tcW w:w="567" w:type="dxa"/>
            <w:vAlign w:val="center"/>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pPr>
            <w:r w:rsidRPr="000D2ABF">
              <w:t>2</w:t>
            </w:r>
          </w:p>
        </w:tc>
        <w:tc>
          <w:tcPr>
            <w:tcW w:w="425" w:type="dxa"/>
            <w:vAlign w:val="center"/>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pPr>
            <w:r w:rsidRPr="000D2ABF">
              <w:t>4</w:t>
            </w:r>
          </w:p>
        </w:tc>
        <w:tc>
          <w:tcPr>
            <w:tcW w:w="567" w:type="dxa"/>
            <w:vAlign w:val="center"/>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pPr>
            <w:r w:rsidRPr="000D2ABF">
              <w:t>1</w:t>
            </w:r>
          </w:p>
        </w:tc>
        <w:tc>
          <w:tcPr>
            <w:tcW w:w="855" w:type="dxa"/>
            <w:vAlign w:val="center"/>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pPr>
            <w:r w:rsidRPr="000D2ABF">
              <w:t>42</w:t>
            </w:r>
          </w:p>
        </w:tc>
      </w:tr>
      <w:tr w:rsidR="004379A4" w:rsidRPr="000D2ABF" w:rsidTr="00FE7291">
        <w:trPr>
          <w:trHeight w:val="250"/>
          <w:jc w:val="center"/>
        </w:trPr>
        <w:tc>
          <w:tcPr>
            <w:cnfStyle w:val="001000000000" w:firstRow="0" w:lastRow="0" w:firstColumn="1" w:lastColumn="0" w:oddVBand="0" w:evenVBand="0" w:oddHBand="0" w:evenHBand="0" w:firstRowFirstColumn="0" w:firstRowLastColumn="0" w:lastRowFirstColumn="0" w:lastRowLastColumn="0"/>
            <w:tcW w:w="968" w:type="dxa"/>
            <w:vAlign w:val="center"/>
          </w:tcPr>
          <w:p w:rsidR="000D2ABF" w:rsidRPr="000D2ABF" w:rsidRDefault="000D2ABF" w:rsidP="000D2ABF">
            <w:pPr>
              <w:jc w:val="both"/>
              <w:rPr>
                <w:b w:val="0"/>
              </w:rPr>
            </w:pPr>
            <w:r w:rsidRPr="000D2ABF">
              <w:rPr>
                <w:b w:val="0"/>
              </w:rPr>
              <w:t>0418</w:t>
            </w:r>
          </w:p>
        </w:tc>
        <w:tc>
          <w:tcPr>
            <w:tcW w:w="1862" w:type="dxa"/>
          </w:tcPr>
          <w:p w:rsidR="004379A4" w:rsidRPr="000D2ABF" w:rsidRDefault="000D2ABF" w:rsidP="000D2ABF">
            <w:pPr>
              <w:jc w:val="both"/>
              <w:cnfStyle w:val="000000000000" w:firstRow="0" w:lastRow="0" w:firstColumn="0" w:lastColumn="0" w:oddVBand="0" w:evenVBand="0" w:oddHBand="0" w:evenHBand="0" w:firstRowFirstColumn="0" w:firstRowLastColumn="0" w:lastRowFirstColumn="0" w:lastRowLastColumn="0"/>
            </w:pPr>
            <w:r w:rsidRPr="000D2ABF">
              <w:t xml:space="preserve">Esc. Roberto </w:t>
            </w:r>
            <w:proofErr w:type="spellStart"/>
            <w:r w:rsidRPr="000D2ABF">
              <w:t>Cantillano</w:t>
            </w:r>
            <w:proofErr w:type="spellEnd"/>
          </w:p>
        </w:tc>
        <w:tc>
          <w:tcPr>
            <w:tcW w:w="997" w:type="dxa"/>
            <w:vAlign w:val="center"/>
          </w:tcPr>
          <w:p w:rsidR="000D2ABF" w:rsidRPr="000D2ABF" w:rsidRDefault="000D2ABF" w:rsidP="004379A4">
            <w:pPr>
              <w:jc w:val="center"/>
              <w:cnfStyle w:val="000000000000" w:firstRow="0" w:lastRow="0" w:firstColumn="0" w:lastColumn="0" w:oddVBand="0" w:evenVBand="0" w:oddHBand="0" w:evenHBand="0" w:firstRowFirstColumn="0" w:firstRowLastColumn="0" w:lastRowFirstColumn="0" w:lastRowLastColumn="0"/>
            </w:pPr>
            <w:r w:rsidRPr="000D2ABF">
              <w:t>3</w:t>
            </w:r>
          </w:p>
        </w:tc>
        <w:tc>
          <w:tcPr>
            <w:tcW w:w="425" w:type="dxa"/>
            <w:vAlign w:val="center"/>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pPr>
            <w:r w:rsidRPr="000D2ABF">
              <w:t>3</w:t>
            </w:r>
          </w:p>
        </w:tc>
        <w:tc>
          <w:tcPr>
            <w:tcW w:w="421" w:type="dxa"/>
            <w:vAlign w:val="center"/>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pPr>
            <w:r w:rsidRPr="000D2ABF">
              <w:t>2</w:t>
            </w:r>
          </w:p>
        </w:tc>
        <w:tc>
          <w:tcPr>
            <w:tcW w:w="567" w:type="dxa"/>
            <w:vAlign w:val="center"/>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pPr>
            <w:r w:rsidRPr="000D2ABF">
              <w:t>3</w:t>
            </w:r>
          </w:p>
        </w:tc>
        <w:tc>
          <w:tcPr>
            <w:tcW w:w="567" w:type="dxa"/>
            <w:vAlign w:val="center"/>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pPr>
            <w:r w:rsidRPr="000D2ABF">
              <w:t>-</w:t>
            </w:r>
          </w:p>
        </w:tc>
        <w:tc>
          <w:tcPr>
            <w:tcW w:w="425" w:type="dxa"/>
            <w:vAlign w:val="center"/>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pPr>
            <w:r w:rsidRPr="000D2ABF">
              <w:t>1</w:t>
            </w:r>
          </w:p>
        </w:tc>
        <w:tc>
          <w:tcPr>
            <w:tcW w:w="567" w:type="dxa"/>
            <w:vAlign w:val="center"/>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pPr>
            <w:r w:rsidRPr="000D2ABF">
              <w:t>-</w:t>
            </w:r>
          </w:p>
        </w:tc>
        <w:tc>
          <w:tcPr>
            <w:tcW w:w="855" w:type="dxa"/>
            <w:vAlign w:val="center"/>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pPr>
            <w:r w:rsidRPr="000D2ABF">
              <w:t>12</w:t>
            </w:r>
          </w:p>
        </w:tc>
      </w:tr>
      <w:tr w:rsidR="000D2ABF" w:rsidRPr="000D2ABF" w:rsidTr="00FE729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968" w:type="dxa"/>
            <w:vAlign w:val="center"/>
          </w:tcPr>
          <w:p w:rsidR="000D2ABF" w:rsidRPr="000D2ABF" w:rsidRDefault="000D2ABF" w:rsidP="000D2ABF">
            <w:pPr>
              <w:jc w:val="both"/>
              <w:rPr>
                <w:b w:val="0"/>
              </w:rPr>
            </w:pPr>
            <w:r w:rsidRPr="000D2ABF">
              <w:rPr>
                <w:b w:val="0"/>
              </w:rPr>
              <w:t>-</w:t>
            </w:r>
          </w:p>
        </w:tc>
        <w:tc>
          <w:tcPr>
            <w:tcW w:w="1862" w:type="dxa"/>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pPr>
            <w:r w:rsidRPr="000D2ABF">
              <w:t>Aula Integrada</w:t>
            </w:r>
          </w:p>
        </w:tc>
        <w:tc>
          <w:tcPr>
            <w:tcW w:w="3969" w:type="dxa"/>
            <w:gridSpan w:val="7"/>
            <w:vAlign w:val="center"/>
          </w:tcPr>
          <w:p w:rsidR="000D2ABF" w:rsidRPr="000D2ABF" w:rsidRDefault="004379A4" w:rsidP="000D2ABF">
            <w:pPr>
              <w:jc w:val="both"/>
              <w:cnfStyle w:val="000000100000" w:firstRow="0" w:lastRow="0" w:firstColumn="0" w:lastColumn="0" w:oddVBand="0" w:evenVBand="0" w:oddHBand="1" w:evenHBand="0" w:firstRowFirstColumn="0" w:firstRowLastColumn="0" w:lastRowFirstColumn="0" w:lastRowLastColumn="0"/>
            </w:pPr>
            <w:r>
              <w:t xml:space="preserve">     </w:t>
            </w:r>
            <w:r w:rsidR="000D2ABF" w:rsidRPr="000D2ABF">
              <w:t>3</w:t>
            </w:r>
          </w:p>
        </w:tc>
        <w:tc>
          <w:tcPr>
            <w:tcW w:w="855" w:type="dxa"/>
            <w:vAlign w:val="center"/>
          </w:tcPr>
          <w:p w:rsidR="000D2ABF" w:rsidRPr="000D2ABF" w:rsidRDefault="004379A4" w:rsidP="000D2ABF">
            <w:pPr>
              <w:jc w:val="both"/>
              <w:cnfStyle w:val="000000100000" w:firstRow="0" w:lastRow="0" w:firstColumn="0" w:lastColumn="0" w:oddVBand="0" w:evenVBand="0" w:oddHBand="1" w:evenHBand="0" w:firstRowFirstColumn="0" w:firstRowLastColumn="0" w:lastRowFirstColumn="0" w:lastRowLastColumn="0"/>
            </w:pPr>
            <w:r>
              <w:t xml:space="preserve"> </w:t>
            </w:r>
            <w:r w:rsidR="000D2ABF" w:rsidRPr="000D2ABF">
              <w:t>3</w:t>
            </w:r>
          </w:p>
        </w:tc>
      </w:tr>
    </w:tbl>
    <w:p w:rsidR="000D2ABF" w:rsidRPr="004379A4" w:rsidRDefault="000D2ABF" w:rsidP="000D2ABF">
      <w:pPr>
        <w:jc w:val="both"/>
        <w:rPr>
          <w:i/>
          <w:sz w:val="20"/>
          <w:szCs w:val="20"/>
        </w:rPr>
      </w:pPr>
      <w:r w:rsidRPr="000D2ABF">
        <w:t xml:space="preserve">          </w:t>
      </w:r>
      <w:r w:rsidRPr="004379A4">
        <w:rPr>
          <w:i/>
          <w:sz w:val="20"/>
          <w:szCs w:val="20"/>
        </w:rPr>
        <w:t>Fuente: Elaboración propia con datos brindados por el centro educativo.</w:t>
      </w:r>
    </w:p>
    <w:p w:rsidR="000D2ABF" w:rsidRPr="000D2ABF" w:rsidRDefault="000D2ABF" w:rsidP="000D2ABF">
      <w:pPr>
        <w:jc w:val="both"/>
      </w:pPr>
    </w:p>
    <w:p w:rsidR="000D2ABF" w:rsidRPr="000D2ABF" w:rsidRDefault="000D2ABF" w:rsidP="000D2ABF">
      <w:pPr>
        <w:jc w:val="both"/>
      </w:pPr>
      <w:r w:rsidRPr="000D2ABF">
        <w:t>En la revisión realizada a la documentación aportada por el administrador del Hospicio de Huérfanos de San José, y la suministrada por la Dirección de Planificación Institucional, se observó que el Ministerio de Educación Pública, después de ejecutada la auditoría, y en acatam</w:t>
      </w:r>
      <w:r w:rsidR="002100F9">
        <w:t>iento a la recomendación, efectuó</w:t>
      </w:r>
      <w:r w:rsidRPr="000D2ABF">
        <w:t xml:space="preserve"> una reorganización de los recursos transferidos, y como consecuencia se eliminó la transferencia de fon</w:t>
      </w:r>
      <w:r w:rsidR="002100F9">
        <w:t>dos al Hospicio y a su vez, dotó</w:t>
      </w:r>
      <w:r w:rsidRPr="000D2ABF">
        <w:t xml:space="preserve"> a dicha institución con </w:t>
      </w:r>
      <w:r w:rsidR="002100F9" w:rsidRPr="00FE7291">
        <w:t>el recurso humano docente, que coadyuvara</w:t>
      </w:r>
      <w:r w:rsidRPr="000D2ABF">
        <w:t xml:space="preserve"> en la educación de los niños. Es importante aclarar que tres de los docentes laboran de forma permanente dentro del Hospicio</w:t>
      </w:r>
      <w:r w:rsidR="002100F9">
        <w:t>,</w:t>
      </w:r>
      <w:r w:rsidRPr="000D2ABF">
        <w:t xml:space="preserve"> brindando apoyo educativo extra clase a los niños y una docente de educación especial que cuenta con 32 lecciones.</w:t>
      </w:r>
    </w:p>
    <w:p w:rsidR="000D2ABF" w:rsidRPr="000D2ABF" w:rsidRDefault="000D2ABF" w:rsidP="000D2ABF">
      <w:pPr>
        <w:jc w:val="both"/>
      </w:pPr>
    </w:p>
    <w:p w:rsidR="000D2ABF" w:rsidRDefault="000D2ABF" w:rsidP="000D2ABF">
      <w:pPr>
        <w:jc w:val="both"/>
      </w:pPr>
      <w:r w:rsidRPr="000D2ABF">
        <w:t xml:space="preserve">En el siguiente cuadro, se detalla de forma cuantitativa el aporte anual que realiza el Ministerio de Educación al Hospicio de Huérfanos de San José:   </w:t>
      </w:r>
    </w:p>
    <w:p w:rsidR="004379A4" w:rsidRDefault="004379A4" w:rsidP="000D2ABF">
      <w:pPr>
        <w:jc w:val="both"/>
      </w:pPr>
    </w:p>
    <w:p w:rsidR="004379A4" w:rsidRDefault="004379A4" w:rsidP="000D2ABF">
      <w:pPr>
        <w:jc w:val="both"/>
      </w:pPr>
    </w:p>
    <w:p w:rsidR="004743D8" w:rsidRDefault="004743D8" w:rsidP="000D2ABF">
      <w:pPr>
        <w:jc w:val="both"/>
      </w:pPr>
    </w:p>
    <w:p w:rsidR="004743D8" w:rsidRDefault="004743D8" w:rsidP="000D2ABF">
      <w:pPr>
        <w:jc w:val="both"/>
      </w:pPr>
    </w:p>
    <w:p w:rsidR="004743D8" w:rsidRDefault="004743D8" w:rsidP="000D2ABF">
      <w:pPr>
        <w:jc w:val="both"/>
      </w:pPr>
    </w:p>
    <w:p w:rsidR="004743D8" w:rsidRDefault="004743D8" w:rsidP="000D2ABF">
      <w:pPr>
        <w:jc w:val="both"/>
      </w:pPr>
    </w:p>
    <w:p w:rsidR="004743D8" w:rsidRDefault="004743D8" w:rsidP="000D2ABF">
      <w:pPr>
        <w:jc w:val="both"/>
      </w:pPr>
    </w:p>
    <w:p w:rsidR="004743D8" w:rsidRDefault="004743D8" w:rsidP="000D2ABF">
      <w:pPr>
        <w:jc w:val="both"/>
      </w:pPr>
    </w:p>
    <w:p w:rsidR="000D2ABF" w:rsidRPr="000D2ABF" w:rsidRDefault="000D2ABF" w:rsidP="000D2ABF">
      <w:pPr>
        <w:jc w:val="both"/>
        <w:rPr>
          <w:color w:val="FF0000"/>
        </w:rPr>
      </w:pPr>
    </w:p>
    <w:tbl>
      <w:tblPr>
        <w:tblStyle w:val="Tabladecuadrcula4-nfasis11"/>
        <w:tblW w:w="0" w:type="auto"/>
        <w:jc w:val="center"/>
        <w:tblLayout w:type="fixed"/>
        <w:tblLook w:val="04A0" w:firstRow="1" w:lastRow="0" w:firstColumn="1" w:lastColumn="0" w:noHBand="0" w:noVBand="1"/>
      </w:tblPr>
      <w:tblGrid>
        <w:gridCol w:w="1985"/>
        <w:gridCol w:w="1696"/>
        <w:gridCol w:w="1417"/>
        <w:gridCol w:w="1418"/>
        <w:gridCol w:w="1417"/>
      </w:tblGrid>
      <w:tr w:rsidR="000D2ABF" w:rsidRPr="000D2ABF" w:rsidTr="004379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3" w:type="dxa"/>
            <w:gridSpan w:val="5"/>
            <w:vAlign w:val="center"/>
          </w:tcPr>
          <w:p w:rsidR="000D2ABF" w:rsidRPr="004379A4" w:rsidRDefault="000D2ABF" w:rsidP="004379A4">
            <w:pPr>
              <w:jc w:val="center"/>
              <w:rPr>
                <w:i/>
                <w:sz w:val="20"/>
                <w:szCs w:val="20"/>
              </w:rPr>
            </w:pPr>
            <w:r w:rsidRPr="004379A4">
              <w:rPr>
                <w:i/>
                <w:sz w:val="20"/>
                <w:szCs w:val="20"/>
              </w:rPr>
              <w:t>Cuadro N° 2</w:t>
            </w:r>
          </w:p>
        </w:tc>
      </w:tr>
      <w:tr w:rsidR="000D2ABF" w:rsidRPr="000D2ABF" w:rsidTr="004379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3" w:type="dxa"/>
            <w:gridSpan w:val="5"/>
            <w:vAlign w:val="center"/>
          </w:tcPr>
          <w:p w:rsidR="000D2ABF" w:rsidRPr="004379A4" w:rsidRDefault="000D2ABF" w:rsidP="004379A4">
            <w:pPr>
              <w:jc w:val="center"/>
              <w:rPr>
                <w:i/>
                <w:sz w:val="20"/>
                <w:szCs w:val="20"/>
              </w:rPr>
            </w:pPr>
            <w:r w:rsidRPr="004379A4">
              <w:rPr>
                <w:i/>
                <w:sz w:val="20"/>
                <w:szCs w:val="20"/>
              </w:rPr>
              <w:t>Costo Anual por Docente - ´Período 2017</w:t>
            </w:r>
          </w:p>
        </w:tc>
      </w:tr>
      <w:tr w:rsidR="000D2ABF" w:rsidRPr="000D2ABF" w:rsidTr="004379A4">
        <w:trPr>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rsidR="000D2ABF" w:rsidRPr="004379A4" w:rsidRDefault="000D2ABF" w:rsidP="000D2ABF">
            <w:pPr>
              <w:jc w:val="both"/>
              <w:rPr>
                <w:i/>
                <w:sz w:val="20"/>
                <w:szCs w:val="20"/>
              </w:rPr>
            </w:pPr>
            <w:r w:rsidRPr="004379A4">
              <w:rPr>
                <w:i/>
                <w:sz w:val="20"/>
                <w:szCs w:val="20"/>
              </w:rPr>
              <w:t>Concepto</w:t>
            </w:r>
          </w:p>
        </w:tc>
        <w:tc>
          <w:tcPr>
            <w:tcW w:w="1696"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b/>
                <w:i/>
                <w:sz w:val="20"/>
                <w:szCs w:val="20"/>
              </w:rPr>
            </w:pPr>
            <w:r w:rsidRPr="004379A4">
              <w:rPr>
                <w:b/>
                <w:i/>
                <w:sz w:val="20"/>
                <w:szCs w:val="20"/>
              </w:rPr>
              <w:t xml:space="preserve">2 Prof. </w:t>
            </w:r>
            <w:proofErr w:type="spellStart"/>
            <w:r w:rsidRPr="004379A4">
              <w:rPr>
                <w:b/>
                <w:i/>
                <w:sz w:val="20"/>
                <w:szCs w:val="20"/>
              </w:rPr>
              <w:t>Ens</w:t>
            </w:r>
            <w:proofErr w:type="spellEnd"/>
            <w:r w:rsidRPr="004379A4">
              <w:rPr>
                <w:b/>
                <w:i/>
                <w:sz w:val="20"/>
                <w:szCs w:val="20"/>
              </w:rPr>
              <w:t>. General Básica</w:t>
            </w:r>
          </w:p>
        </w:tc>
        <w:tc>
          <w:tcPr>
            <w:tcW w:w="1417"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b/>
                <w:i/>
                <w:sz w:val="20"/>
                <w:szCs w:val="20"/>
              </w:rPr>
            </w:pPr>
            <w:r w:rsidRPr="004379A4">
              <w:rPr>
                <w:b/>
                <w:i/>
                <w:sz w:val="20"/>
                <w:szCs w:val="20"/>
              </w:rPr>
              <w:t>1 Prof. Idioma Ext.</w:t>
            </w:r>
          </w:p>
        </w:tc>
        <w:tc>
          <w:tcPr>
            <w:tcW w:w="1418"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b/>
                <w:i/>
                <w:sz w:val="20"/>
                <w:szCs w:val="20"/>
              </w:rPr>
            </w:pPr>
            <w:r w:rsidRPr="004379A4">
              <w:rPr>
                <w:b/>
                <w:i/>
                <w:sz w:val="20"/>
                <w:szCs w:val="20"/>
              </w:rPr>
              <w:t xml:space="preserve">32 </w:t>
            </w:r>
            <w:proofErr w:type="spellStart"/>
            <w:r w:rsidRPr="004379A4">
              <w:rPr>
                <w:b/>
                <w:i/>
                <w:sz w:val="20"/>
                <w:szCs w:val="20"/>
              </w:rPr>
              <w:t>Lecc</w:t>
            </w:r>
            <w:proofErr w:type="spellEnd"/>
            <w:r w:rsidRPr="004379A4">
              <w:rPr>
                <w:b/>
                <w:i/>
                <w:sz w:val="20"/>
                <w:szCs w:val="20"/>
              </w:rPr>
              <w:t xml:space="preserve">. </w:t>
            </w:r>
            <w:proofErr w:type="spellStart"/>
            <w:r w:rsidRPr="004379A4">
              <w:rPr>
                <w:b/>
                <w:i/>
                <w:sz w:val="20"/>
                <w:szCs w:val="20"/>
              </w:rPr>
              <w:t>Educ</w:t>
            </w:r>
            <w:proofErr w:type="spellEnd"/>
            <w:r w:rsidRPr="004379A4">
              <w:rPr>
                <w:b/>
                <w:i/>
                <w:sz w:val="20"/>
                <w:szCs w:val="20"/>
              </w:rPr>
              <w:t>. Esp.</w:t>
            </w:r>
          </w:p>
        </w:tc>
        <w:tc>
          <w:tcPr>
            <w:tcW w:w="1417"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b/>
                <w:i/>
                <w:sz w:val="20"/>
                <w:szCs w:val="20"/>
              </w:rPr>
            </w:pPr>
            <w:r w:rsidRPr="004379A4">
              <w:rPr>
                <w:b/>
                <w:i/>
                <w:sz w:val="20"/>
                <w:szCs w:val="20"/>
              </w:rPr>
              <w:t>Total</w:t>
            </w:r>
          </w:p>
        </w:tc>
      </w:tr>
      <w:tr w:rsidR="000D2ABF" w:rsidRPr="000D2ABF" w:rsidTr="004379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rsidR="000D2ABF" w:rsidRPr="004379A4" w:rsidRDefault="000D2ABF" w:rsidP="000D2ABF">
            <w:pPr>
              <w:jc w:val="both"/>
              <w:rPr>
                <w:b w:val="0"/>
                <w:i/>
                <w:sz w:val="20"/>
                <w:szCs w:val="20"/>
              </w:rPr>
            </w:pPr>
            <w:r w:rsidRPr="004379A4">
              <w:rPr>
                <w:b w:val="0"/>
                <w:i/>
                <w:sz w:val="20"/>
                <w:szCs w:val="20"/>
              </w:rPr>
              <w:t>Salario Base</w:t>
            </w:r>
          </w:p>
        </w:tc>
        <w:tc>
          <w:tcPr>
            <w:tcW w:w="1696"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992,450.00</w:t>
            </w:r>
          </w:p>
        </w:tc>
        <w:tc>
          <w:tcPr>
            <w:tcW w:w="1417"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520,000.00</w:t>
            </w:r>
          </w:p>
        </w:tc>
        <w:tc>
          <w:tcPr>
            <w:tcW w:w="1418"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625,600.00</w:t>
            </w:r>
          </w:p>
        </w:tc>
        <w:tc>
          <w:tcPr>
            <w:tcW w:w="1417"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2,138,050.00</w:t>
            </w:r>
          </w:p>
        </w:tc>
      </w:tr>
      <w:tr w:rsidR="000D2ABF" w:rsidRPr="000D2ABF" w:rsidTr="004379A4">
        <w:trPr>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rsidR="000D2ABF" w:rsidRPr="004379A4" w:rsidRDefault="000D2ABF" w:rsidP="000D2ABF">
            <w:pPr>
              <w:jc w:val="both"/>
              <w:rPr>
                <w:b w:val="0"/>
                <w:i/>
                <w:sz w:val="20"/>
                <w:szCs w:val="20"/>
              </w:rPr>
            </w:pPr>
            <w:r w:rsidRPr="004379A4">
              <w:rPr>
                <w:b w:val="0"/>
                <w:i/>
                <w:sz w:val="20"/>
                <w:szCs w:val="20"/>
              </w:rPr>
              <w:t>Anuales</w:t>
            </w:r>
          </w:p>
        </w:tc>
        <w:tc>
          <w:tcPr>
            <w:tcW w:w="1696"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188,099.00</w:t>
            </w:r>
          </w:p>
        </w:tc>
        <w:tc>
          <w:tcPr>
            <w:tcW w:w="1417"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100,880.00</w:t>
            </w:r>
          </w:p>
        </w:tc>
        <w:tc>
          <w:tcPr>
            <w:tcW w:w="1418"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157,776.32</w:t>
            </w:r>
          </w:p>
        </w:tc>
        <w:tc>
          <w:tcPr>
            <w:tcW w:w="1417"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446,755.32</w:t>
            </w:r>
          </w:p>
        </w:tc>
      </w:tr>
      <w:tr w:rsidR="000D2ABF" w:rsidRPr="000D2ABF" w:rsidTr="004379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rsidR="000D2ABF" w:rsidRPr="004379A4" w:rsidRDefault="000D2ABF" w:rsidP="000D2ABF">
            <w:pPr>
              <w:jc w:val="both"/>
              <w:rPr>
                <w:b w:val="0"/>
                <w:i/>
                <w:sz w:val="20"/>
                <w:szCs w:val="20"/>
              </w:rPr>
            </w:pPr>
            <w:r w:rsidRPr="004379A4">
              <w:rPr>
                <w:b w:val="0"/>
                <w:i/>
                <w:sz w:val="20"/>
                <w:szCs w:val="20"/>
              </w:rPr>
              <w:t>Carrera Profesional</w:t>
            </w:r>
          </w:p>
        </w:tc>
        <w:tc>
          <w:tcPr>
            <w:tcW w:w="1696"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w:t>
            </w:r>
          </w:p>
        </w:tc>
        <w:tc>
          <w:tcPr>
            <w:tcW w:w="1417"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w:t>
            </w:r>
          </w:p>
        </w:tc>
        <w:tc>
          <w:tcPr>
            <w:tcW w:w="1418"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23,637.33</w:t>
            </w:r>
          </w:p>
        </w:tc>
        <w:tc>
          <w:tcPr>
            <w:tcW w:w="1417"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23,637.33</w:t>
            </w:r>
          </w:p>
        </w:tc>
      </w:tr>
      <w:tr w:rsidR="000D2ABF" w:rsidRPr="000D2ABF" w:rsidTr="004379A4">
        <w:trPr>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rsidR="000D2ABF" w:rsidRPr="004379A4" w:rsidRDefault="000D2ABF" w:rsidP="000D2ABF">
            <w:pPr>
              <w:jc w:val="both"/>
              <w:rPr>
                <w:b w:val="0"/>
                <w:i/>
                <w:sz w:val="20"/>
                <w:szCs w:val="20"/>
              </w:rPr>
            </w:pPr>
            <w:r w:rsidRPr="004379A4">
              <w:rPr>
                <w:b w:val="0"/>
                <w:i/>
                <w:sz w:val="20"/>
                <w:szCs w:val="20"/>
              </w:rPr>
              <w:t>Incentivo Didáctico</w:t>
            </w:r>
          </w:p>
        </w:tc>
        <w:tc>
          <w:tcPr>
            <w:tcW w:w="1696"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98,339.69</w:t>
            </w:r>
          </w:p>
        </w:tc>
        <w:tc>
          <w:tcPr>
            <w:tcW w:w="1417"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51,719.30</w:t>
            </w:r>
          </w:p>
        </w:tc>
        <w:tc>
          <w:tcPr>
            <w:tcW w:w="1418"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67,224.24</w:t>
            </w:r>
          </w:p>
        </w:tc>
        <w:tc>
          <w:tcPr>
            <w:tcW w:w="1417"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217,283.23</w:t>
            </w:r>
          </w:p>
        </w:tc>
      </w:tr>
      <w:tr w:rsidR="000D2ABF" w:rsidRPr="000D2ABF" w:rsidTr="004379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rsidR="000D2ABF" w:rsidRPr="004379A4" w:rsidRDefault="000D2ABF" w:rsidP="000D2ABF">
            <w:pPr>
              <w:jc w:val="both"/>
              <w:rPr>
                <w:b w:val="0"/>
                <w:i/>
                <w:sz w:val="20"/>
                <w:szCs w:val="20"/>
              </w:rPr>
            </w:pPr>
            <w:r w:rsidRPr="004379A4">
              <w:rPr>
                <w:b w:val="0"/>
                <w:i/>
                <w:sz w:val="20"/>
                <w:szCs w:val="20"/>
              </w:rPr>
              <w:t>Costo Mensual</w:t>
            </w:r>
          </w:p>
        </w:tc>
        <w:tc>
          <w:tcPr>
            <w:tcW w:w="1696"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1,278,888.69</w:t>
            </w:r>
          </w:p>
        </w:tc>
        <w:tc>
          <w:tcPr>
            <w:tcW w:w="1417"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672,599.30</w:t>
            </w:r>
          </w:p>
        </w:tc>
        <w:tc>
          <w:tcPr>
            <w:tcW w:w="1418"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874,237.89</w:t>
            </w:r>
          </w:p>
        </w:tc>
        <w:tc>
          <w:tcPr>
            <w:tcW w:w="1417"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2,825,725.88</w:t>
            </w:r>
          </w:p>
        </w:tc>
      </w:tr>
      <w:tr w:rsidR="000D2ABF" w:rsidRPr="000D2ABF" w:rsidTr="004379A4">
        <w:trPr>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rsidR="000D2ABF" w:rsidRPr="004379A4" w:rsidRDefault="000D2ABF" w:rsidP="000D2ABF">
            <w:pPr>
              <w:jc w:val="both"/>
              <w:rPr>
                <w:b w:val="0"/>
                <w:i/>
                <w:sz w:val="20"/>
                <w:szCs w:val="20"/>
              </w:rPr>
            </w:pPr>
            <w:r w:rsidRPr="004379A4">
              <w:rPr>
                <w:b w:val="0"/>
                <w:i/>
                <w:sz w:val="20"/>
                <w:szCs w:val="20"/>
              </w:rPr>
              <w:t>Costo Anual</w:t>
            </w:r>
          </w:p>
        </w:tc>
        <w:tc>
          <w:tcPr>
            <w:tcW w:w="1696"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15,346,664.30</w:t>
            </w:r>
          </w:p>
        </w:tc>
        <w:tc>
          <w:tcPr>
            <w:tcW w:w="1417"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8,071,191.60</w:t>
            </w:r>
          </w:p>
        </w:tc>
        <w:tc>
          <w:tcPr>
            <w:tcW w:w="1418"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10,490,854.68</w:t>
            </w:r>
          </w:p>
        </w:tc>
        <w:tc>
          <w:tcPr>
            <w:tcW w:w="1417"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33,908,710.58</w:t>
            </w:r>
          </w:p>
        </w:tc>
      </w:tr>
      <w:tr w:rsidR="000D2ABF" w:rsidRPr="000D2ABF" w:rsidTr="004379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rsidR="000D2ABF" w:rsidRPr="004379A4" w:rsidRDefault="000D2ABF" w:rsidP="000D2ABF">
            <w:pPr>
              <w:jc w:val="both"/>
              <w:rPr>
                <w:b w:val="0"/>
                <w:i/>
                <w:sz w:val="20"/>
                <w:szCs w:val="20"/>
              </w:rPr>
            </w:pPr>
            <w:r w:rsidRPr="004379A4">
              <w:rPr>
                <w:b w:val="0"/>
                <w:i/>
                <w:sz w:val="20"/>
                <w:szCs w:val="20"/>
              </w:rPr>
              <w:t>Costo de Vida (1,941)*</w:t>
            </w:r>
          </w:p>
        </w:tc>
        <w:tc>
          <w:tcPr>
            <w:tcW w:w="1696"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297,878.75</w:t>
            </w:r>
          </w:p>
        </w:tc>
        <w:tc>
          <w:tcPr>
            <w:tcW w:w="1417"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156,661.83</w:t>
            </w:r>
          </w:p>
        </w:tc>
        <w:tc>
          <w:tcPr>
            <w:tcW w:w="1418"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203,627.49</w:t>
            </w:r>
          </w:p>
        </w:tc>
        <w:tc>
          <w:tcPr>
            <w:tcW w:w="1417"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658,168.07</w:t>
            </w:r>
          </w:p>
        </w:tc>
      </w:tr>
      <w:tr w:rsidR="000D2ABF" w:rsidRPr="000D2ABF" w:rsidTr="004379A4">
        <w:trPr>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rsidR="000D2ABF" w:rsidRPr="004379A4" w:rsidRDefault="000D2ABF" w:rsidP="000D2ABF">
            <w:pPr>
              <w:jc w:val="both"/>
              <w:rPr>
                <w:b w:val="0"/>
                <w:i/>
                <w:sz w:val="20"/>
                <w:szCs w:val="20"/>
              </w:rPr>
            </w:pPr>
            <w:r w:rsidRPr="004379A4">
              <w:rPr>
                <w:b w:val="0"/>
                <w:i/>
                <w:sz w:val="20"/>
                <w:szCs w:val="20"/>
              </w:rPr>
              <w:t>Costo Anual sujeto a cargas sociales</w:t>
            </w:r>
          </w:p>
        </w:tc>
        <w:tc>
          <w:tcPr>
            <w:tcW w:w="1696"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15,644,543.05</w:t>
            </w:r>
          </w:p>
        </w:tc>
        <w:tc>
          <w:tcPr>
            <w:tcW w:w="1417"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8,227,853.43</w:t>
            </w:r>
          </w:p>
        </w:tc>
        <w:tc>
          <w:tcPr>
            <w:tcW w:w="1418"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10,694,482.17</w:t>
            </w:r>
          </w:p>
        </w:tc>
        <w:tc>
          <w:tcPr>
            <w:tcW w:w="1417"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34,566,878.65</w:t>
            </w:r>
          </w:p>
        </w:tc>
      </w:tr>
      <w:tr w:rsidR="000D2ABF" w:rsidRPr="000D2ABF" w:rsidTr="004379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rsidR="000D2ABF" w:rsidRPr="004379A4" w:rsidRDefault="000D2ABF" w:rsidP="000D2ABF">
            <w:pPr>
              <w:jc w:val="both"/>
              <w:rPr>
                <w:b w:val="0"/>
                <w:i/>
                <w:sz w:val="20"/>
                <w:szCs w:val="20"/>
              </w:rPr>
            </w:pPr>
            <w:r w:rsidRPr="004379A4">
              <w:rPr>
                <w:b w:val="0"/>
                <w:i/>
                <w:sz w:val="20"/>
                <w:szCs w:val="20"/>
              </w:rPr>
              <w:t>Salario Escolar</w:t>
            </w:r>
          </w:p>
        </w:tc>
        <w:tc>
          <w:tcPr>
            <w:tcW w:w="1696"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1,287,545.89</w:t>
            </w:r>
          </w:p>
        </w:tc>
        <w:tc>
          <w:tcPr>
            <w:tcW w:w="1417"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677,152.34</w:t>
            </w:r>
          </w:p>
        </w:tc>
        <w:tc>
          <w:tcPr>
            <w:tcW w:w="1418"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880,155.88</w:t>
            </w:r>
          </w:p>
        </w:tc>
        <w:tc>
          <w:tcPr>
            <w:tcW w:w="1417"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2,844,854.11</w:t>
            </w:r>
          </w:p>
        </w:tc>
      </w:tr>
      <w:tr w:rsidR="000D2ABF" w:rsidRPr="000D2ABF" w:rsidTr="004379A4">
        <w:trPr>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rsidR="000D2ABF" w:rsidRPr="004379A4" w:rsidRDefault="000D2ABF" w:rsidP="000D2ABF">
            <w:pPr>
              <w:jc w:val="both"/>
              <w:rPr>
                <w:b w:val="0"/>
                <w:i/>
                <w:sz w:val="20"/>
                <w:szCs w:val="20"/>
              </w:rPr>
            </w:pPr>
            <w:r w:rsidRPr="004379A4">
              <w:rPr>
                <w:b w:val="0"/>
                <w:i/>
                <w:sz w:val="20"/>
                <w:szCs w:val="20"/>
              </w:rPr>
              <w:t>Aguinaldo</w:t>
            </w:r>
          </w:p>
        </w:tc>
        <w:tc>
          <w:tcPr>
            <w:tcW w:w="1696"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1,410,443.01</w:t>
            </w:r>
          </w:p>
        </w:tc>
        <w:tc>
          <w:tcPr>
            <w:tcW w:w="1417"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741,786.98</w:t>
            </w:r>
          </w:p>
        </w:tc>
        <w:tc>
          <w:tcPr>
            <w:tcW w:w="1418"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964,167.35</w:t>
            </w:r>
          </w:p>
        </w:tc>
        <w:tc>
          <w:tcPr>
            <w:tcW w:w="1417"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i/>
                <w:sz w:val="20"/>
                <w:szCs w:val="20"/>
                <w:lang w:eastAsia="es-CR"/>
              </w:rPr>
            </w:pPr>
            <w:r w:rsidRPr="004379A4">
              <w:rPr>
                <w:i/>
                <w:sz w:val="20"/>
                <w:szCs w:val="20"/>
                <w:lang w:eastAsia="es-CR"/>
              </w:rPr>
              <w:t>3,116,397.34</w:t>
            </w:r>
          </w:p>
        </w:tc>
      </w:tr>
      <w:tr w:rsidR="000D2ABF" w:rsidRPr="000D2ABF" w:rsidTr="004379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rsidR="000D2ABF" w:rsidRPr="004379A4" w:rsidRDefault="000D2ABF" w:rsidP="000D2ABF">
            <w:pPr>
              <w:jc w:val="both"/>
              <w:rPr>
                <w:b w:val="0"/>
                <w:i/>
                <w:sz w:val="20"/>
                <w:szCs w:val="20"/>
              </w:rPr>
            </w:pPr>
            <w:r w:rsidRPr="004379A4">
              <w:rPr>
                <w:b w:val="0"/>
                <w:i/>
                <w:sz w:val="20"/>
                <w:szCs w:val="20"/>
              </w:rPr>
              <w:t>Cargas Sociales</w:t>
            </w:r>
          </w:p>
        </w:tc>
        <w:tc>
          <w:tcPr>
            <w:tcW w:w="1696"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2,695,588.56</w:t>
            </w:r>
          </w:p>
        </w:tc>
        <w:tc>
          <w:tcPr>
            <w:tcW w:w="1417"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1,417,676.92</w:t>
            </w:r>
          </w:p>
        </w:tc>
        <w:tc>
          <w:tcPr>
            <w:tcW w:w="1418"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1,842,682.38</w:t>
            </w:r>
          </w:p>
        </w:tc>
        <w:tc>
          <w:tcPr>
            <w:tcW w:w="1417" w:type="dxa"/>
            <w:vAlign w:val="center"/>
          </w:tcPr>
          <w:p w:rsidR="000D2ABF" w:rsidRPr="004379A4" w:rsidRDefault="000D2ABF" w:rsidP="000D2ABF">
            <w:pPr>
              <w:jc w:val="both"/>
              <w:cnfStyle w:val="000000100000" w:firstRow="0" w:lastRow="0" w:firstColumn="0" w:lastColumn="0" w:oddVBand="0" w:evenVBand="0" w:oddHBand="1" w:evenHBand="0" w:firstRowFirstColumn="0" w:firstRowLastColumn="0" w:lastRowFirstColumn="0" w:lastRowLastColumn="0"/>
              <w:rPr>
                <w:i/>
                <w:sz w:val="20"/>
                <w:szCs w:val="20"/>
                <w:lang w:eastAsia="es-CR"/>
              </w:rPr>
            </w:pPr>
            <w:r w:rsidRPr="004379A4">
              <w:rPr>
                <w:i/>
                <w:sz w:val="20"/>
                <w:szCs w:val="20"/>
                <w:lang w:eastAsia="es-CR"/>
              </w:rPr>
              <w:t>5,955,947.86</w:t>
            </w:r>
          </w:p>
        </w:tc>
      </w:tr>
      <w:tr w:rsidR="000D2ABF" w:rsidRPr="000D2ABF" w:rsidTr="004379A4">
        <w:trPr>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rsidR="000D2ABF" w:rsidRPr="004379A4" w:rsidRDefault="000D2ABF" w:rsidP="000D2ABF">
            <w:pPr>
              <w:jc w:val="both"/>
              <w:rPr>
                <w:i/>
                <w:sz w:val="20"/>
                <w:szCs w:val="20"/>
              </w:rPr>
            </w:pPr>
            <w:r w:rsidRPr="004379A4">
              <w:rPr>
                <w:i/>
                <w:sz w:val="20"/>
                <w:szCs w:val="20"/>
              </w:rPr>
              <w:t>Total</w:t>
            </w:r>
          </w:p>
        </w:tc>
        <w:tc>
          <w:tcPr>
            <w:tcW w:w="1696"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b/>
                <w:i/>
                <w:sz w:val="20"/>
                <w:szCs w:val="20"/>
                <w:lang w:eastAsia="es-CR"/>
              </w:rPr>
            </w:pPr>
            <w:r w:rsidRPr="004379A4">
              <w:rPr>
                <w:b/>
                <w:i/>
                <w:sz w:val="20"/>
                <w:szCs w:val="20"/>
                <w:lang w:eastAsia="es-CR"/>
              </w:rPr>
              <w:t>21,038,120.52</w:t>
            </w:r>
          </w:p>
        </w:tc>
        <w:tc>
          <w:tcPr>
            <w:tcW w:w="1417"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b/>
                <w:i/>
                <w:sz w:val="20"/>
                <w:szCs w:val="20"/>
                <w:lang w:eastAsia="es-CR"/>
              </w:rPr>
            </w:pPr>
            <w:r w:rsidRPr="004379A4">
              <w:rPr>
                <w:b/>
                <w:i/>
                <w:sz w:val="20"/>
                <w:szCs w:val="20"/>
                <w:lang w:eastAsia="es-CR"/>
              </w:rPr>
              <w:t>11,064,469.66</w:t>
            </w:r>
          </w:p>
        </w:tc>
        <w:tc>
          <w:tcPr>
            <w:tcW w:w="1418"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b/>
                <w:i/>
                <w:sz w:val="20"/>
                <w:szCs w:val="20"/>
                <w:lang w:eastAsia="es-CR"/>
              </w:rPr>
            </w:pPr>
            <w:r w:rsidRPr="004379A4">
              <w:rPr>
                <w:b/>
                <w:i/>
                <w:sz w:val="20"/>
                <w:szCs w:val="20"/>
                <w:lang w:eastAsia="es-CR"/>
              </w:rPr>
              <w:t>14,381,487.78</w:t>
            </w:r>
          </w:p>
        </w:tc>
        <w:tc>
          <w:tcPr>
            <w:tcW w:w="1417" w:type="dxa"/>
            <w:vAlign w:val="center"/>
          </w:tcPr>
          <w:p w:rsidR="000D2ABF" w:rsidRPr="004379A4" w:rsidRDefault="000D2ABF" w:rsidP="000D2ABF">
            <w:pPr>
              <w:jc w:val="both"/>
              <w:cnfStyle w:val="000000000000" w:firstRow="0" w:lastRow="0" w:firstColumn="0" w:lastColumn="0" w:oddVBand="0" w:evenVBand="0" w:oddHBand="0" w:evenHBand="0" w:firstRowFirstColumn="0" w:firstRowLastColumn="0" w:lastRowFirstColumn="0" w:lastRowLastColumn="0"/>
              <w:rPr>
                <w:b/>
                <w:i/>
                <w:sz w:val="20"/>
                <w:szCs w:val="20"/>
                <w:lang w:eastAsia="es-CR"/>
              </w:rPr>
            </w:pPr>
            <w:r w:rsidRPr="004379A4">
              <w:rPr>
                <w:b/>
                <w:i/>
                <w:sz w:val="20"/>
                <w:szCs w:val="20"/>
                <w:lang w:eastAsia="es-CR"/>
              </w:rPr>
              <w:t>46,484,077.96</w:t>
            </w:r>
          </w:p>
        </w:tc>
      </w:tr>
    </w:tbl>
    <w:p w:rsidR="000D2ABF" w:rsidRPr="004379A4" w:rsidRDefault="002100F9" w:rsidP="000D2ABF">
      <w:pPr>
        <w:jc w:val="both"/>
        <w:rPr>
          <w:i/>
          <w:sz w:val="20"/>
          <w:szCs w:val="20"/>
        </w:rPr>
      </w:pPr>
      <w:r>
        <w:rPr>
          <w:b/>
          <w:i/>
        </w:rPr>
        <w:t xml:space="preserve">       </w:t>
      </w:r>
      <w:r w:rsidR="000D2ABF" w:rsidRPr="000D2ABF">
        <w:rPr>
          <w:b/>
          <w:i/>
        </w:rPr>
        <w:t>Fuente:</w:t>
      </w:r>
      <w:r w:rsidR="000D2ABF" w:rsidRPr="000D2ABF">
        <w:rPr>
          <w:i/>
        </w:rPr>
        <w:t xml:space="preserve"> </w:t>
      </w:r>
      <w:r w:rsidR="000D2ABF" w:rsidRPr="004379A4">
        <w:rPr>
          <w:i/>
          <w:sz w:val="20"/>
          <w:szCs w:val="20"/>
        </w:rPr>
        <w:t>Departamento Desarrollo de Servicios Educativos-</w:t>
      </w:r>
      <w:proofErr w:type="spellStart"/>
      <w:r w:rsidR="000D2ABF" w:rsidRPr="004379A4">
        <w:rPr>
          <w:i/>
          <w:sz w:val="20"/>
          <w:szCs w:val="20"/>
        </w:rPr>
        <w:t>Mep</w:t>
      </w:r>
      <w:proofErr w:type="spellEnd"/>
    </w:p>
    <w:p w:rsidR="000D2ABF" w:rsidRPr="004379A4" w:rsidRDefault="000D2ABF" w:rsidP="000D2ABF">
      <w:pPr>
        <w:jc w:val="both"/>
        <w:rPr>
          <w:bCs/>
          <w:i/>
          <w:color w:val="000000"/>
          <w:sz w:val="20"/>
          <w:szCs w:val="20"/>
          <w:lang w:eastAsia="es-CR"/>
        </w:rPr>
      </w:pPr>
      <w:r w:rsidRPr="004379A4">
        <w:rPr>
          <w:bCs/>
          <w:i/>
          <w:color w:val="000000"/>
          <w:sz w:val="20"/>
          <w:szCs w:val="20"/>
          <w:lang w:eastAsia="es-CR"/>
        </w:rPr>
        <w:t xml:space="preserve">             </w:t>
      </w:r>
      <w:r w:rsidR="002100F9">
        <w:rPr>
          <w:bCs/>
          <w:i/>
          <w:color w:val="000000"/>
          <w:sz w:val="20"/>
          <w:szCs w:val="20"/>
          <w:lang w:eastAsia="es-CR"/>
        </w:rPr>
        <w:t xml:space="preserve">      </w:t>
      </w:r>
      <w:r w:rsidR="004379A4">
        <w:rPr>
          <w:bCs/>
          <w:i/>
          <w:color w:val="000000"/>
          <w:sz w:val="20"/>
          <w:szCs w:val="20"/>
          <w:lang w:eastAsia="es-CR"/>
        </w:rPr>
        <w:t xml:space="preserve"> </w:t>
      </w:r>
      <w:r w:rsidRPr="004379A4">
        <w:rPr>
          <w:bCs/>
          <w:i/>
          <w:color w:val="000000"/>
          <w:sz w:val="20"/>
          <w:szCs w:val="20"/>
          <w:lang w:eastAsia="es-CR"/>
        </w:rPr>
        <w:t>* De acuerdo con el porcentaje proyectado por el Ministerio de Hacienda para el año 2017.</w:t>
      </w:r>
    </w:p>
    <w:p w:rsidR="000D2ABF" w:rsidRPr="000D2ABF" w:rsidRDefault="000D2ABF" w:rsidP="000D2ABF">
      <w:pPr>
        <w:jc w:val="both"/>
      </w:pPr>
      <w:r w:rsidRPr="000D2ABF">
        <w:t xml:space="preserve">  </w:t>
      </w:r>
    </w:p>
    <w:p w:rsidR="000D2ABF" w:rsidRPr="000D2ABF" w:rsidRDefault="000D2ABF" w:rsidP="000D2ABF">
      <w:pPr>
        <w:jc w:val="both"/>
      </w:pPr>
      <w:r w:rsidRPr="000D2ABF">
        <w:t>De conformidad con lo procedido se evidencia que el MEP eliminó la transferencia de fondos que realizaba al Hospicio de Huérfanos y en su lugar aporta los docentes, consecuentemente la recomendación está cumplida.</w:t>
      </w:r>
    </w:p>
    <w:p w:rsidR="000D2ABF" w:rsidRPr="000D2ABF" w:rsidRDefault="000D2ABF" w:rsidP="000D2ABF">
      <w:pPr>
        <w:jc w:val="both"/>
      </w:pPr>
    </w:p>
    <w:p w:rsidR="000D2ABF" w:rsidRPr="004379A4" w:rsidRDefault="004379A4" w:rsidP="004379A4">
      <w:pPr>
        <w:ind w:left="567"/>
        <w:jc w:val="both"/>
        <w:rPr>
          <w:i/>
          <w:sz w:val="22"/>
          <w:szCs w:val="22"/>
        </w:rPr>
      </w:pPr>
      <w:r w:rsidRPr="004379A4">
        <w:rPr>
          <w:b/>
          <w:i/>
          <w:sz w:val="22"/>
          <w:szCs w:val="22"/>
        </w:rPr>
        <w:t>4.2</w:t>
      </w:r>
      <w:r w:rsidRPr="004379A4">
        <w:rPr>
          <w:i/>
          <w:sz w:val="22"/>
          <w:szCs w:val="22"/>
        </w:rPr>
        <w:t xml:space="preserve"> </w:t>
      </w:r>
      <w:r w:rsidR="000D2ABF" w:rsidRPr="004379A4">
        <w:rPr>
          <w:i/>
          <w:sz w:val="22"/>
          <w:szCs w:val="22"/>
        </w:rPr>
        <w:t>Especificar las competencias atinentes a las diferentes instancias del Ministerio de Educación Pública involucradas en la aplicación del Decreto Nº 33550-MEP “Reglamento del Otorgamiento de Estímulos a la Iniciativa Privada en Materia de Educación por parte del Ministerio de Educación Pública”.</w:t>
      </w:r>
    </w:p>
    <w:p w:rsidR="000D2ABF" w:rsidRPr="000D2ABF" w:rsidRDefault="000D2ABF" w:rsidP="000D2ABF">
      <w:pPr>
        <w:jc w:val="both"/>
      </w:pPr>
    </w:p>
    <w:p w:rsidR="000D2ABF" w:rsidRPr="000D2ABF" w:rsidRDefault="000D2ABF" w:rsidP="000D2ABF">
      <w:pPr>
        <w:jc w:val="both"/>
      </w:pPr>
      <w:r w:rsidRPr="000D2ABF">
        <w:t xml:space="preserve">Con respecto a esta recomendación es importante tener claro que el Hospicio de Huérfanos de San José, no pertenece a ninguna estructura presupuestaria, por lo que se incluye dentro de las instituciones que conformaban la llamada “Región 70”, donde están las instituciones privadas, apoyo interinstitucional y escuelas de música.  </w:t>
      </w:r>
    </w:p>
    <w:p w:rsidR="000D2ABF" w:rsidRPr="000D2ABF" w:rsidRDefault="000D2ABF" w:rsidP="000D2ABF">
      <w:pPr>
        <w:jc w:val="both"/>
      </w:pPr>
    </w:p>
    <w:p w:rsidR="000D2ABF" w:rsidRPr="000D2ABF" w:rsidRDefault="000D2ABF" w:rsidP="000D2ABF">
      <w:pPr>
        <w:jc w:val="both"/>
      </w:pPr>
      <w:r w:rsidRPr="000D2ABF">
        <w:t xml:space="preserve">Ahora bien, de acuerdo con la información suministrada por la Dirección de Centros Privados Docentes, el Hospicio de Huérfanos de San José, no está registrada como una institución de educación pública,  ni privada, esto según lo indicado en el oficio DECDOP-1868-07-2010, en el cual hace constar que la mencionada institución, no se encuentra acreditada o reconocida por el MEP, para impartir los niveles de Preescolar,  I y II Ciclos de la educación formal.   </w:t>
      </w:r>
    </w:p>
    <w:p w:rsidR="000D2ABF" w:rsidRPr="000D2ABF" w:rsidRDefault="000D2ABF" w:rsidP="000D2ABF">
      <w:pPr>
        <w:jc w:val="both"/>
      </w:pPr>
    </w:p>
    <w:p w:rsidR="000D2ABF" w:rsidRPr="000D2ABF" w:rsidRDefault="000D2ABF" w:rsidP="000D2ABF">
      <w:pPr>
        <w:jc w:val="both"/>
      </w:pPr>
      <w:r w:rsidRPr="000D2ABF">
        <w:t xml:space="preserve">Asimismo, al ser una institución </w:t>
      </w:r>
      <w:r w:rsidRPr="00E956EF">
        <w:t xml:space="preserve">perteneciente a la </w:t>
      </w:r>
      <w:r w:rsidR="002100F9" w:rsidRPr="00E956EF">
        <w:t>denominada</w:t>
      </w:r>
      <w:r w:rsidR="00FE7291" w:rsidRPr="00E956EF">
        <w:t xml:space="preserve"> en su momento</w:t>
      </w:r>
      <w:r w:rsidR="002100F9" w:rsidRPr="00E956EF">
        <w:t xml:space="preserve"> </w:t>
      </w:r>
      <w:r w:rsidRPr="00E956EF">
        <w:t xml:space="preserve">“Región </w:t>
      </w:r>
      <w:r w:rsidRPr="000D2ABF">
        <w:t>70”, se sobre entiende que antes de la asignación de cualquier tipo de recursos, ya sean estos fondos por transferencias o en recurso humano, deberá de existir un convenio entre las partes interesadas.</w:t>
      </w:r>
    </w:p>
    <w:p w:rsidR="000D2ABF" w:rsidRPr="000D2ABF" w:rsidRDefault="000D2ABF" w:rsidP="000D2ABF">
      <w:pPr>
        <w:jc w:val="both"/>
      </w:pPr>
    </w:p>
    <w:p w:rsidR="000D2ABF" w:rsidRPr="000D2ABF" w:rsidRDefault="000D2ABF" w:rsidP="000D2ABF">
      <w:pPr>
        <w:jc w:val="both"/>
      </w:pPr>
      <w:r w:rsidRPr="000D2ABF">
        <w:lastRenderedPageBreak/>
        <w:t>Por otra parte, de acuerdo a la revisión efectuada</w:t>
      </w:r>
      <w:r w:rsidR="002100F9">
        <w:t>,</w:t>
      </w:r>
      <w:r w:rsidRPr="000D2ABF">
        <w:t xml:space="preserve"> se logró evidenciar que entre el Ministerio de Educación Pública (MEP) y el Patronato Nacional de la Infancia (PANI), existe un Convenio Marco denominado: “Convenio Marco de Cooperación entre el Ministerio de Educación Pública y el Patronato Nacional de la Infancia”, situación que ampara el recurso humano que brinda apoyo a los niños que habitan en el Hospicio de Huérfanos de San José y en el cual se especifica las competencias atinentes a las diferentes instancias del Ministerio de Educación Pública involucradas en la aplicación del Decreto Nº 33550-MEP “Reglamento del Otorgamiento de Estímulos a la Iniciativa Privada en Materia de Educación, por parte del Ministerio de Educación Pública”, por consiguiente la recomendación se encuentra cumplida.</w:t>
      </w:r>
    </w:p>
    <w:p w:rsidR="000D2ABF" w:rsidRDefault="000D2ABF" w:rsidP="000D2ABF">
      <w:pPr>
        <w:jc w:val="both"/>
      </w:pPr>
    </w:p>
    <w:p w:rsidR="000D2ABF" w:rsidRPr="00AA7E4E" w:rsidRDefault="00AA7E4E" w:rsidP="00AA7E4E">
      <w:pPr>
        <w:ind w:left="567"/>
        <w:jc w:val="both"/>
        <w:rPr>
          <w:rStyle w:val="Ttulo3Car"/>
          <w:rFonts w:ascii="Times New Roman" w:hAnsi="Times New Roman" w:cs="Times New Roman"/>
          <w:b w:val="0"/>
          <w:i/>
        </w:rPr>
      </w:pPr>
      <w:r w:rsidRPr="00AA7E4E">
        <w:rPr>
          <w:b/>
          <w:i/>
        </w:rPr>
        <w:t>Dirección de Planificación Institucional</w:t>
      </w:r>
    </w:p>
    <w:p w:rsidR="00AA7E4E" w:rsidRPr="00AA7E4E" w:rsidRDefault="00AA7E4E" w:rsidP="00AA7E4E">
      <w:pPr>
        <w:ind w:left="567"/>
        <w:jc w:val="both"/>
        <w:rPr>
          <w:i/>
        </w:rPr>
      </w:pPr>
    </w:p>
    <w:p w:rsidR="000D2ABF" w:rsidRPr="00AA7E4E" w:rsidRDefault="00AA7E4E" w:rsidP="00AA7E4E">
      <w:pPr>
        <w:ind w:left="567"/>
        <w:jc w:val="both"/>
        <w:rPr>
          <w:i/>
        </w:rPr>
      </w:pPr>
      <w:r w:rsidRPr="00AA7E4E">
        <w:rPr>
          <w:b/>
          <w:i/>
        </w:rPr>
        <w:t>4.2</w:t>
      </w:r>
      <w:r w:rsidRPr="00AA7E4E">
        <w:rPr>
          <w:i/>
        </w:rPr>
        <w:t xml:space="preserve"> </w:t>
      </w:r>
      <w:r w:rsidR="000D2ABF" w:rsidRPr="00AA7E4E">
        <w:rPr>
          <w:i/>
        </w:rPr>
        <w:t>Establecer, una vez formalizadas  las competencias citadas en el aparte anterior, el perfil de organizaciones sociales sujetas a recibir apoyo económico del MEP</w:t>
      </w:r>
    </w:p>
    <w:p w:rsidR="000D2ABF" w:rsidRPr="000D2ABF" w:rsidRDefault="000D2ABF" w:rsidP="000D2ABF">
      <w:pPr>
        <w:jc w:val="both"/>
      </w:pPr>
    </w:p>
    <w:p w:rsidR="000D2ABF" w:rsidRPr="000D2ABF" w:rsidRDefault="000D2ABF" w:rsidP="000D2ABF">
      <w:pPr>
        <w:jc w:val="both"/>
      </w:pPr>
      <w:r w:rsidRPr="000D2ABF">
        <w:t>En concordancia con este tema, en el oficio N° DPI-1640-2011, emitido por el Director de Planificación Institucional, se indica lo siguiente:</w:t>
      </w:r>
    </w:p>
    <w:p w:rsidR="000D2ABF" w:rsidRPr="000D2ABF" w:rsidRDefault="000D2ABF" w:rsidP="000D2ABF">
      <w:pPr>
        <w:jc w:val="both"/>
      </w:pPr>
    </w:p>
    <w:p w:rsidR="000D2ABF" w:rsidRPr="000D2ABF" w:rsidRDefault="000D2ABF" w:rsidP="000D2ABF">
      <w:pPr>
        <w:ind w:left="567"/>
        <w:jc w:val="both"/>
        <w:rPr>
          <w:i/>
        </w:rPr>
      </w:pPr>
      <w:r w:rsidRPr="000D2ABF">
        <w:rPr>
          <w:i/>
        </w:rPr>
        <w:t>(….)</w:t>
      </w:r>
    </w:p>
    <w:p w:rsidR="000D2ABF" w:rsidRPr="000D2ABF" w:rsidRDefault="000D2ABF" w:rsidP="000D2ABF">
      <w:pPr>
        <w:ind w:left="567"/>
        <w:jc w:val="both"/>
        <w:rPr>
          <w:i/>
        </w:rPr>
      </w:pPr>
      <w:r w:rsidRPr="000D2ABF">
        <w:rPr>
          <w:i/>
        </w:rPr>
        <w:t>Paralelamente, como se mencionó anteriormente, la Dirección de Planificación Institucional decidió llevar a cabo un procedimiento que permitiera eliminar la denominada “Región 70”. Con base al insumo anterior, como pasó inicial se clasificaron las instituciones en públicas y privadas, tomando como referencia los convenios que estas instituciones tiene suscritos con el MEP o con otras entidades estales. Como complemento a dicha clasificación, se puntualizó de manera general la realidad de cada una de estas instituciones, con la finalidad de delimitar en conjunto con las Autoridades Superiores la manera en que se van a administrar y supervisar, a partir del curso lectivo 2012, los recursos otorgados.</w:t>
      </w:r>
    </w:p>
    <w:p w:rsidR="000D2ABF" w:rsidRPr="000D2ABF" w:rsidRDefault="000D2ABF" w:rsidP="000D2ABF">
      <w:pPr>
        <w:ind w:left="567"/>
        <w:jc w:val="both"/>
        <w:rPr>
          <w:i/>
        </w:rPr>
      </w:pPr>
    </w:p>
    <w:p w:rsidR="000D2ABF" w:rsidRPr="000D2ABF" w:rsidRDefault="000D2ABF" w:rsidP="000D2ABF">
      <w:pPr>
        <w:ind w:left="567"/>
        <w:jc w:val="both"/>
        <w:rPr>
          <w:i/>
        </w:rPr>
      </w:pPr>
      <w:r w:rsidRPr="000D2ABF">
        <w:rPr>
          <w:i/>
        </w:rPr>
        <w:t xml:space="preserve">A partir de ello, se concertaron algunas reuniones con las Autoridades Superiores del MEP para determinar el proceder, por lo que mediante Reunión de Coordinación , celebrada de día 19 de octubre del presente año se realizó el análisis de estas instituciones que conforman la “Región 70” y se propuso lo siguiente con respecto a las instituciones clasificadas como públicas: </w:t>
      </w:r>
    </w:p>
    <w:p w:rsidR="000D2ABF" w:rsidRPr="000D2ABF" w:rsidRDefault="000D2ABF" w:rsidP="000D2ABF">
      <w:pPr>
        <w:jc w:val="both"/>
      </w:pPr>
    </w:p>
    <w:p w:rsidR="000D2ABF" w:rsidRPr="000D2ABF" w:rsidRDefault="000D2ABF" w:rsidP="000D2ABF">
      <w:pPr>
        <w:ind w:left="567"/>
        <w:jc w:val="both"/>
        <w:rPr>
          <w:i/>
          <w:noProof/>
          <w:lang w:eastAsia="es-CR"/>
        </w:rPr>
      </w:pPr>
      <w:r w:rsidRPr="000D2ABF">
        <w:rPr>
          <w:i/>
          <w:noProof/>
          <w:lang w:eastAsia="es-CR"/>
        </w:rPr>
        <w:t>Conjuntamete, para las instituciones clasificadas como privadas se acordó:</w:t>
      </w:r>
    </w:p>
    <w:p w:rsidR="000D2ABF" w:rsidRPr="000D2ABF" w:rsidRDefault="000D2ABF" w:rsidP="000D2ABF">
      <w:pPr>
        <w:jc w:val="both"/>
        <w:rPr>
          <w:noProof/>
          <w:lang w:eastAsia="es-CR"/>
        </w:rPr>
      </w:pPr>
    </w:p>
    <w:p w:rsidR="000D2ABF" w:rsidRPr="000D2ABF" w:rsidRDefault="000D2ABF" w:rsidP="000D2ABF">
      <w:pPr>
        <w:pStyle w:val="Prrafodelista"/>
        <w:numPr>
          <w:ilvl w:val="0"/>
          <w:numId w:val="4"/>
        </w:numPr>
        <w:spacing w:after="0" w:line="240" w:lineRule="auto"/>
        <w:ind w:left="851" w:hanging="284"/>
        <w:jc w:val="both"/>
        <w:rPr>
          <w:rFonts w:ascii="Times New Roman" w:hAnsi="Times New Roman" w:cs="Times New Roman"/>
          <w:i/>
          <w:noProof/>
          <w:sz w:val="24"/>
          <w:szCs w:val="24"/>
          <w:lang w:eastAsia="es-CR"/>
        </w:rPr>
      </w:pPr>
      <w:r w:rsidRPr="000D2ABF">
        <w:rPr>
          <w:rFonts w:ascii="Times New Roman" w:hAnsi="Times New Roman" w:cs="Times New Roman"/>
          <w:i/>
          <w:noProof/>
          <w:sz w:val="24"/>
          <w:szCs w:val="24"/>
          <w:lang w:eastAsia="es-CR"/>
        </w:rPr>
        <w:t xml:space="preserve">“Propiciar la firma de un convenio con el PANI. Medainte una valoración conjunta MEP-PANI se valoraría la posible inclusión en el convenio de las siguientes instituciones": </w:t>
      </w:r>
    </w:p>
    <w:p w:rsidR="000D2ABF" w:rsidRDefault="000D2ABF" w:rsidP="000D2ABF">
      <w:pPr>
        <w:jc w:val="both"/>
        <w:rPr>
          <w:noProof/>
          <w:lang w:eastAsia="es-CR"/>
        </w:rPr>
      </w:pPr>
    </w:p>
    <w:p w:rsidR="00AA7E4E" w:rsidRDefault="00AA7E4E" w:rsidP="000D2ABF">
      <w:pPr>
        <w:jc w:val="both"/>
        <w:rPr>
          <w:noProof/>
          <w:lang w:eastAsia="es-CR"/>
        </w:rPr>
      </w:pPr>
    </w:p>
    <w:p w:rsidR="00AA7E4E" w:rsidRDefault="00AA7E4E" w:rsidP="000D2ABF">
      <w:pPr>
        <w:jc w:val="both"/>
        <w:rPr>
          <w:noProof/>
          <w:lang w:eastAsia="es-CR"/>
        </w:rPr>
      </w:pPr>
    </w:p>
    <w:p w:rsidR="00AA7E4E" w:rsidRDefault="00AA7E4E" w:rsidP="000D2ABF">
      <w:pPr>
        <w:jc w:val="both"/>
        <w:rPr>
          <w:noProof/>
          <w:lang w:eastAsia="es-CR"/>
        </w:rPr>
      </w:pPr>
    </w:p>
    <w:p w:rsidR="00AA7E4E" w:rsidRDefault="00AA7E4E" w:rsidP="000D2ABF">
      <w:pPr>
        <w:jc w:val="both"/>
        <w:rPr>
          <w:noProof/>
          <w:lang w:eastAsia="es-CR"/>
        </w:rPr>
      </w:pPr>
    </w:p>
    <w:p w:rsidR="00AA7E4E" w:rsidRPr="000D2ABF" w:rsidRDefault="00AA7E4E" w:rsidP="000D2ABF">
      <w:pPr>
        <w:jc w:val="both"/>
        <w:rPr>
          <w:noProof/>
          <w:lang w:eastAsia="es-CR"/>
        </w:rPr>
      </w:pPr>
    </w:p>
    <w:tbl>
      <w:tblPr>
        <w:tblStyle w:val="Tabladecuadrcula4-nfasis11"/>
        <w:tblW w:w="6941" w:type="dxa"/>
        <w:jc w:val="center"/>
        <w:tblLook w:val="04A0" w:firstRow="1" w:lastRow="0" w:firstColumn="1" w:lastColumn="0" w:noHBand="0" w:noVBand="1"/>
      </w:tblPr>
      <w:tblGrid>
        <w:gridCol w:w="1710"/>
        <w:gridCol w:w="5231"/>
      </w:tblGrid>
      <w:tr w:rsidR="000D2ABF" w:rsidRPr="000D2ABF" w:rsidTr="008C529F">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6941" w:type="dxa"/>
            <w:gridSpan w:val="2"/>
            <w:vAlign w:val="center"/>
          </w:tcPr>
          <w:p w:rsidR="000D2ABF" w:rsidRPr="000D2ABF" w:rsidRDefault="000D2ABF" w:rsidP="00AA7E4E">
            <w:pPr>
              <w:jc w:val="center"/>
              <w:rPr>
                <w:i/>
                <w:noProof/>
                <w:lang w:eastAsia="es-CR"/>
              </w:rPr>
            </w:pPr>
            <w:r w:rsidRPr="000D2ABF">
              <w:rPr>
                <w:i/>
                <w:noProof/>
                <w:lang w:eastAsia="es-CR"/>
              </w:rPr>
              <w:lastRenderedPageBreak/>
              <w:t>Cuadro N° 3</w:t>
            </w:r>
          </w:p>
        </w:tc>
      </w:tr>
      <w:tr w:rsidR="000D2ABF" w:rsidRPr="000D2ABF" w:rsidTr="008C52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6941" w:type="dxa"/>
            <w:gridSpan w:val="2"/>
            <w:vAlign w:val="center"/>
          </w:tcPr>
          <w:p w:rsidR="000D2ABF" w:rsidRPr="000D2ABF" w:rsidRDefault="000D2ABF" w:rsidP="00AA7E4E">
            <w:pPr>
              <w:jc w:val="center"/>
              <w:rPr>
                <w:i/>
                <w:noProof/>
                <w:lang w:eastAsia="es-CR"/>
              </w:rPr>
            </w:pPr>
            <w:r w:rsidRPr="000D2ABF">
              <w:rPr>
                <w:i/>
                <w:noProof/>
                <w:lang w:eastAsia="es-CR"/>
              </w:rPr>
              <w:t>Instituciones Privadas</w:t>
            </w:r>
          </w:p>
        </w:tc>
      </w:tr>
      <w:tr w:rsidR="000D2ABF" w:rsidRPr="000D2ABF" w:rsidTr="008C529F">
        <w:trPr>
          <w:trHeight w:val="258"/>
          <w:jc w:val="center"/>
        </w:trPr>
        <w:tc>
          <w:tcPr>
            <w:cnfStyle w:val="001000000000" w:firstRow="0" w:lastRow="0" w:firstColumn="1" w:lastColumn="0" w:oddVBand="0" w:evenVBand="0" w:oddHBand="0" w:evenHBand="0" w:firstRowFirstColumn="0" w:firstRowLastColumn="0" w:lastRowFirstColumn="0" w:lastRowLastColumn="0"/>
            <w:tcW w:w="1710" w:type="dxa"/>
            <w:vAlign w:val="center"/>
          </w:tcPr>
          <w:p w:rsidR="000D2ABF" w:rsidRPr="000D2ABF" w:rsidRDefault="000D2ABF" w:rsidP="000D2ABF">
            <w:pPr>
              <w:jc w:val="both"/>
              <w:rPr>
                <w:i/>
              </w:rPr>
            </w:pPr>
            <w:r w:rsidRPr="000D2ABF">
              <w:rPr>
                <w:i/>
              </w:rPr>
              <w:t>Registro Presupuestario</w:t>
            </w:r>
          </w:p>
        </w:tc>
        <w:tc>
          <w:tcPr>
            <w:tcW w:w="5231" w:type="dxa"/>
            <w:vAlign w:val="center"/>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b/>
                <w:i/>
              </w:rPr>
            </w:pPr>
            <w:r w:rsidRPr="000D2ABF">
              <w:rPr>
                <w:b/>
                <w:i/>
              </w:rPr>
              <w:t>Institución</w:t>
            </w:r>
          </w:p>
        </w:tc>
      </w:tr>
      <w:tr w:rsidR="000D2ABF" w:rsidRPr="000D2ABF" w:rsidTr="008C52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b w:val="0"/>
                <w:i/>
                <w:noProof/>
                <w:lang w:eastAsia="es-CR"/>
              </w:rPr>
            </w:pPr>
            <w:r w:rsidRPr="000D2ABF">
              <w:rPr>
                <w:b w:val="0"/>
                <w:i/>
                <w:noProof/>
                <w:lang w:eastAsia="es-CR"/>
              </w:rPr>
              <w:t>57301-70-3933</w:t>
            </w:r>
          </w:p>
        </w:tc>
        <w:tc>
          <w:tcPr>
            <w:tcW w:w="5231" w:type="dxa"/>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rPr>
                <w:i/>
                <w:noProof/>
                <w:lang w:eastAsia="es-CR"/>
              </w:rPr>
            </w:pPr>
            <w:r w:rsidRPr="000D2ABF">
              <w:rPr>
                <w:i/>
                <w:noProof/>
                <w:lang w:eastAsia="es-CR"/>
              </w:rPr>
              <w:t>Sevicio Intenirante El Encuentro</w:t>
            </w:r>
          </w:p>
        </w:tc>
      </w:tr>
      <w:tr w:rsidR="000D2ABF" w:rsidRPr="000D2ABF" w:rsidTr="008C529F">
        <w:trPr>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57301-70-3934</w:t>
            </w:r>
          </w:p>
        </w:tc>
        <w:tc>
          <w:tcPr>
            <w:tcW w:w="5231"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i/>
                <w:noProof/>
                <w:lang w:eastAsia="es-CR"/>
              </w:rPr>
            </w:pPr>
            <w:r w:rsidRPr="000D2ABF">
              <w:rPr>
                <w:i/>
                <w:noProof/>
                <w:lang w:eastAsia="es-CR"/>
              </w:rPr>
              <w:t>Niñas en Riesgo Social María Mazzarello – Casa Main</w:t>
            </w:r>
          </w:p>
        </w:tc>
      </w:tr>
      <w:tr w:rsidR="000D2ABF" w:rsidRPr="000D2ABF" w:rsidTr="008C52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57301-70-5050</w:t>
            </w:r>
          </w:p>
        </w:tc>
        <w:tc>
          <w:tcPr>
            <w:tcW w:w="5231" w:type="dxa"/>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rPr>
                <w:i/>
                <w:noProof/>
                <w:lang w:eastAsia="es-CR"/>
              </w:rPr>
            </w:pPr>
            <w:r w:rsidRPr="000D2ABF">
              <w:rPr>
                <w:i/>
                <w:noProof/>
                <w:lang w:eastAsia="es-CR"/>
              </w:rPr>
              <w:t>Programa Atención Madre Adolescente</w:t>
            </w:r>
          </w:p>
        </w:tc>
      </w:tr>
      <w:tr w:rsidR="000D2ABF" w:rsidRPr="000D2ABF" w:rsidTr="008C529F">
        <w:trPr>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57301-70-5064</w:t>
            </w:r>
          </w:p>
        </w:tc>
        <w:tc>
          <w:tcPr>
            <w:tcW w:w="5231"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i/>
                <w:noProof/>
                <w:lang w:eastAsia="es-CR"/>
              </w:rPr>
            </w:pPr>
            <w:r w:rsidRPr="000D2ABF">
              <w:rPr>
                <w:i/>
                <w:noProof/>
                <w:lang w:eastAsia="es-CR"/>
              </w:rPr>
              <w:t>Hogar Cristiano Puntarenas</w:t>
            </w:r>
          </w:p>
        </w:tc>
      </w:tr>
      <w:tr w:rsidR="000D2ABF" w:rsidRPr="000D2ABF" w:rsidTr="008C52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57301-70-5067</w:t>
            </w:r>
          </w:p>
        </w:tc>
        <w:tc>
          <w:tcPr>
            <w:tcW w:w="5231" w:type="dxa"/>
            <w:vMerge w:val="restart"/>
            <w:vAlign w:val="center"/>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rPr>
                <w:i/>
                <w:noProof/>
                <w:lang w:eastAsia="es-CR"/>
              </w:rPr>
            </w:pPr>
            <w:r w:rsidRPr="000D2ABF">
              <w:rPr>
                <w:i/>
                <w:noProof/>
                <w:lang w:eastAsia="es-CR"/>
              </w:rPr>
              <w:t>Hospicio de Huérfanos de San José</w:t>
            </w:r>
          </w:p>
        </w:tc>
      </w:tr>
      <w:tr w:rsidR="000D2ABF" w:rsidRPr="000D2ABF" w:rsidTr="008C529F">
        <w:trPr>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57304-70-6478</w:t>
            </w:r>
          </w:p>
        </w:tc>
        <w:tc>
          <w:tcPr>
            <w:tcW w:w="5231" w:type="dxa"/>
            <w:vMerge/>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i/>
                <w:noProof/>
                <w:lang w:eastAsia="es-CR"/>
              </w:rPr>
            </w:pPr>
          </w:p>
        </w:tc>
      </w:tr>
      <w:tr w:rsidR="000D2ABF" w:rsidRPr="000D2ABF" w:rsidTr="008C52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57301-70-6155</w:t>
            </w:r>
          </w:p>
        </w:tc>
        <w:tc>
          <w:tcPr>
            <w:tcW w:w="5231" w:type="dxa"/>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rPr>
                <w:i/>
                <w:noProof/>
                <w:lang w:eastAsia="es-CR"/>
              </w:rPr>
            </w:pPr>
            <w:r w:rsidRPr="000D2ABF">
              <w:rPr>
                <w:i/>
                <w:noProof/>
                <w:lang w:eastAsia="es-CR"/>
              </w:rPr>
              <w:t>Hogares Madre de Dios (Asoc. Por la Sonrisa de los Niños</w:t>
            </w:r>
          </w:p>
        </w:tc>
      </w:tr>
      <w:tr w:rsidR="000D2ABF" w:rsidRPr="000D2ABF" w:rsidTr="008C529F">
        <w:trPr>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57301-70-6278</w:t>
            </w:r>
          </w:p>
        </w:tc>
        <w:tc>
          <w:tcPr>
            <w:tcW w:w="5231"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i/>
                <w:noProof/>
                <w:lang w:eastAsia="es-CR"/>
              </w:rPr>
            </w:pPr>
            <w:r w:rsidRPr="000D2ABF">
              <w:rPr>
                <w:i/>
                <w:noProof/>
                <w:lang w:eastAsia="es-CR"/>
              </w:rPr>
              <w:t>Asociación Obras del Espíritu Santo</w:t>
            </w:r>
          </w:p>
        </w:tc>
      </w:tr>
      <w:tr w:rsidR="000D2ABF" w:rsidRPr="000D2ABF" w:rsidTr="008C52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57301-70-6365</w:t>
            </w:r>
          </w:p>
        </w:tc>
        <w:tc>
          <w:tcPr>
            <w:tcW w:w="5231" w:type="dxa"/>
            <w:vMerge w:val="restart"/>
            <w:vAlign w:val="center"/>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rPr>
                <w:i/>
                <w:noProof/>
                <w:lang w:eastAsia="es-CR"/>
              </w:rPr>
            </w:pPr>
            <w:r w:rsidRPr="000D2ABF">
              <w:rPr>
                <w:i/>
                <w:noProof/>
                <w:lang w:eastAsia="es-CR"/>
              </w:rPr>
              <w:t>Oratorio Don Bosco – Sor María Romero</w:t>
            </w:r>
          </w:p>
        </w:tc>
      </w:tr>
      <w:tr w:rsidR="000D2ABF" w:rsidRPr="000D2ABF" w:rsidTr="008C529F">
        <w:trPr>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57301-70-6383</w:t>
            </w:r>
          </w:p>
        </w:tc>
        <w:tc>
          <w:tcPr>
            <w:tcW w:w="5231" w:type="dxa"/>
            <w:vMerge/>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i/>
                <w:noProof/>
                <w:lang w:eastAsia="es-CR"/>
              </w:rPr>
            </w:pPr>
          </w:p>
        </w:tc>
      </w:tr>
      <w:tr w:rsidR="000D2ABF" w:rsidRPr="000D2ABF" w:rsidTr="008C52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57301-70-6367</w:t>
            </w:r>
          </w:p>
        </w:tc>
        <w:tc>
          <w:tcPr>
            <w:tcW w:w="5231" w:type="dxa"/>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rPr>
                <w:i/>
                <w:noProof/>
                <w:lang w:eastAsia="es-CR"/>
              </w:rPr>
            </w:pPr>
            <w:r w:rsidRPr="000D2ABF">
              <w:rPr>
                <w:i/>
                <w:noProof/>
                <w:lang w:eastAsia="es-CR"/>
              </w:rPr>
              <w:t>Hogar La Posada de Belén Madre Teresa de Calcuta</w:t>
            </w:r>
          </w:p>
        </w:tc>
      </w:tr>
      <w:tr w:rsidR="000D2ABF" w:rsidRPr="000D2ABF" w:rsidTr="008C529F">
        <w:trPr>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57301-70-6380</w:t>
            </w:r>
          </w:p>
        </w:tc>
        <w:tc>
          <w:tcPr>
            <w:tcW w:w="5231"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i/>
                <w:noProof/>
                <w:lang w:eastAsia="es-CR"/>
              </w:rPr>
            </w:pPr>
            <w:r w:rsidRPr="000D2ABF">
              <w:rPr>
                <w:i/>
                <w:noProof/>
                <w:lang w:eastAsia="es-CR"/>
              </w:rPr>
              <w:t>Hogar San Antonio</w:t>
            </w:r>
          </w:p>
        </w:tc>
      </w:tr>
      <w:tr w:rsidR="000D2ABF" w:rsidRPr="000D2ABF" w:rsidTr="008C52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57301-50-0416</w:t>
            </w:r>
          </w:p>
        </w:tc>
        <w:tc>
          <w:tcPr>
            <w:tcW w:w="5231" w:type="dxa"/>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rPr>
                <w:i/>
                <w:noProof/>
                <w:lang w:eastAsia="es-CR"/>
              </w:rPr>
            </w:pPr>
            <w:r w:rsidRPr="000D2ABF">
              <w:rPr>
                <w:i/>
                <w:noProof/>
                <w:lang w:eastAsia="es-CR"/>
              </w:rPr>
              <w:t>Asociación Guardería Infantil del Niño Jesús</w:t>
            </w:r>
          </w:p>
        </w:tc>
      </w:tr>
      <w:tr w:rsidR="000D2ABF" w:rsidRPr="000D2ABF" w:rsidTr="008C529F">
        <w:trPr>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57301-70-6378</w:t>
            </w:r>
          </w:p>
        </w:tc>
        <w:tc>
          <w:tcPr>
            <w:tcW w:w="5231"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i/>
                <w:noProof/>
                <w:lang w:eastAsia="es-CR"/>
              </w:rPr>
            </w:pPr>
            <w:r w:rsidRPr="000D2ABF">
              <w:rPr>
                <w:i/>
                <w:noProof/>
                <w:lang w:eastAsia="es-CR"/>
              </w:rPr>
              <w:t>Hogar Siembra</w:t>
            </w:r>
          </w:p>
        </w:tc>
      </w:tr>
      <w:tr w:rsidR="000D2ABF" w:rsidRPr="000D2ABF" w:rsidTr="008C52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57301-70-6414</w:t>
            </w:r>
          </w:p>
        </w:tc>
        <w:tc>
          <w:tcPr>
            <w:tcW w:w="5231" w:type="dxa"/>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rPr>
                <w:i/>
                <w:noProof/>
                <w:lang w:eastAsia="es-CR"/>
              </w:rPr>
            </w:pPr>
            <w:r w:rsidRPr="000D2ABF">
              <w:rPr>
                <w:i/>
                <w:noProof/>
                <w:lang w:eastAsia="es-CR"/>
              </w:rPr>
              <w:t>Asociación Damas Salesianas</w:t>
            </w:r>
          </w:p>
        </w:tc>
      </w:tr>
      <w:tr w:rsidR="000D2ABF" w:rsidRPr="000D2ABF" w:rsidTr="008C529F">
        <w:trPr>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57301-70-6420</w:t>
            </w:r>
          </w:p>
        </w:tc>
        <w:tc>
          <w:tcPr>
            <w:tcW w:w="5231" w:type="dxa"/>
          </w:tcPr>
          <w:p w:rsidR="000D2ABF" w:rsidRPr="000D2ABF" w:rsidRDefault="000D2ABF" w:rsidP="000D2ABF">
            <w:pPr>
              <w:jc w:val="both"/>
              <w:cnfStyle w:val="000000000000" w:firstRow="0" w:lastRow="0" w:firstColumn="0" w:lastColumn="0" w:oddVBand="0" w:evenVBand="0" w:oddHBand="0" w:evenHBand="0" w:firstRowFirstColumn="0" w:firstRowLastColumn="0" w:lastRowFirstColumn="0" w:lastRowLastColumn="0"/>
              <w:rPr>
                <w:i/>
                <w:noProof/>
                <w:lang w:eastAsia="es-CR"/>
              </w:rPr>
            </w:pPr>
            <w:r w:rsidRPr="000D2ABF">
              <w:rPr>
                <w:i/>
                <w:noProof/>
                <w:lang w:eastAsia="es-CR"/>
              </w:rPr>
              <w:t>Fundación  Manos Abiertas</w:t>
            </w:r>
          </w:p>
        </w:tc>
      </w:tr>
      <w:tr w:rsidR="000D2ABF" w:rsidRPr="000D2ABF" w:rsidTr="008C52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10" w:type="dxa"/>
          </w:tcPr>
          <w:p w:rsidR="000D2ABF" w:rsidRPr="000D2ABF" w:rsidRDefault="000D2ABF" w:rsidP="000D2ABF">
            <w:pPr>
              <w:jc w:val="both"/>
              <w:rPr>
                <w:i/>
              </w:rPr>
            </w:pPr>
            <w:r w:rsidRPr="000D2ABF">
              <w:rPr>
                <w:b w:val="0"/>
                <w:i/>
                <w:noProof/>
                <w:lang w:eastAsia="es-CR"/>
              </w:rPr>
              <w:t>57301-70-6366</w:t>
            </w:r>
          </w:p>
        </w:tc>
        <w:tc>
          <w:tcPr>
            <w:tcW w:w="5231" w:type="dxa"/>
          </w:tcPr>
          <w:p w:rsidR="000D2ABF" w:rsidRPr="000D2ABF" w:rsidRDefault="000D2ABF" w:rsidP="000D2ABF">
            <w:pPr>
              <w:jc w:val="both"/>
              <w:cnfStyle w:val="000000100000" w:firstRow="0" w:lastRow="0" w:firstColumn="0" w:lastColumn="0" w:oddVBand="0" w:evenVBand="0" w:oddHBand="1" w:evenHBand="0" w:firstRowFirstColumn="0" w:firstRowLastColumn="0" w:lastRowFirstColumn="0" w:lastRowLastColumn="0"/>
              <w:rPr>
                <w:i/>
                <w:noProof/>
                <w:lang w:eastAsia="es-CR"/>
              </w:rPr>
            </w:pPr>
            <w:r w:rsidRPr="000D2ABF">
              <w:rPr>
                <w:i/>
                <w:noProof/>
                <w:lang w:eastAsia="es-CR"/>
              </w:rPr>
              <w:t>Albergue La Garita</w:t>
            </w:r>
          </w:p>
        </w:tc>
      </w:tr>
    </w:tbl>
    <w:p w:rsidR="000D2ABF" w:rsidRPr="00AA7E4E" w:rsidRDefault="002100F9" w:rsidP="000D2ABF">
      <w:pPr>
        <w:ind w:left="-142"/>
        <w:jc w:val="both"/>
        <w:rPr>
          <w:i/>
          <w:sz w:val="20"/>
          <w:szCs w:val="20"/>
        </w:rPr>
      </w:pPr>
      <w:r>
        <w:rPr>
          <w:b/>
          <w:i/>
        </w:rPr>
        <w:t xml:space="preserve">                 </w:t>
      </w:r>
      <w:r w:rsidR="000D2ABF" w:rsidRPr="00AA7E4E">
        <w:rPr>
          <w:b/>
          <w:i/>
          <w:sz w:val="20"/>
          <w:szCs w:val="20"/>
        </w:rPr>
        <w:t>Fuente:</w:t>
      </w:r>
      <w:r w:rsidR="000D2ABF" w:rsidRPr="00AA7E4E">
        <w:rPr>
          <w:i/>
          <w:sz w:val="20"/>
          <w:szCs w:val="20"/>
        </w:rPr>
        <w:t xml:space="preserve"> Dirección de Planificación Institucional- </w:t>
      </w:r>
      <w:proofErr w:type="spellStart"/>
      <w:r w:rsidR="000D2ABF" w:rsidRPr="00AA7E4E">
        <w:rPr>
          <w:i/>
          <w:sz w:val="20"/>
          <w:szCs w:val="20"/>
        </w:rPr>
        <w:t>Mep</w:t>
      </w:r>
      <w:proofErr w:type="spellEnd"/>
    </w:p>
    <w:p w:rsidR="000D2ABF" w:rsidRPr="000D2ABF" w:rsidRDefault="000D2ABF" w:rsidP="000D2ABF">
      <w:pPr>
        <w:jc w:val="both"/>
      </w:pPr>
    </w:p>
    <w:p w:rsidR="000D2ABF" w:rsidRPr="000D2ABF" w:rsidRDefault="000D2ABF" w:rsidP="000D2ABF">
      <w:pPr>
        <w:ind w:left="-142"/>
        <w:jc w:val="both"/>
      </w:pPr>
      <w:r w:rsidRPr="000D2ABF">
        <w:t>Actualmente, el perfil de las organizaciones sociales sujetas a recibir apoyo económico del MEP, sigue siendo el mismo, lo que ha cambiado es la forma en que se brinda el apoyo, ya que el MEP no realiza transferencias de dinero como lo hacía anteriormente, lo que hace es proporcionar docentes para que atiendan a los niños de estas instituciones, procedimientos que se encuentran normados un Manual en donde se establecen las competencias y el perfil de organizaciones sociales sujetas a recibir Apoyo</w:t>
      </w:r>
      <w:r w:rsidRPr="000D2ABF">
        <w:rPr>
          <w:rStyle w:val="Ttulo3Car"/>
          <w:rFonts w:ascii="Times New Roman" w:hAnsi="Times New Roman" w:cs="Times New Roman"/>
        </w:rPr>
        <w:t xml:space="preserve"> </w:t>
      </w:r>
      <w:r w:rsidRPr="00AA7E4E">
        <w:rPr>
          <w:rStyle w:val="Ttulo3Car"/>
          <w:rFonts w:ascii="Times New Roman" w:hAnsi="Times New Roman" w:cs="Times New Roman"/>
          <w:color w:val="auto"/>
        </w:rPr>
        <w:t>Educativo Interinstitucional</w:t>
      </w:r>
      <w:r w:rsidRPr="00AA7E4E">
        <w:t xml:space="preserve"> </w:t>
      </w:r>
      <w:r w:rsidRPr="000D2ABF">
        <w:t>por parte del MEP.</w:t>
      </w:r>
    </w:p>
    <w:p w:rsidR="000D2ABF" w:rsidRPr="000D2ABF" w:rsidRDefault="000D2ABF" w:rsidP="000D2ABF">
      <w:pPr>
        <w:ind w:left="-142"/>
        <w:jc w:val="both"/>
      </w:pPr>
    </w:p>
    <w:p w:rsidR="000D2ABF" w:rsidRPr="000D2ABF" w:rsidRDefault="000D2ABF" w:rsidP="000D2ABF">
      <w:pPr>
        <w:ind w:left="-142"/>
        <w:jc w:val="both"/>
      </w:pPr>
      <w:r w:rsidRPr="000D2ABF">
        <w:t>Por lo indicado en el punto 4.2 y lo referido sobre esta recomendación se evidencia que está cumplida.</w:t>
      </w:r>
    </w:p>
    <w:p w:rsidR="000D2ABF" w:rsidRPr="000D2ABF" w:rsidRDefault="000D2ABF" w:rsidP="000D2ABF">
      <w:pPr>
        <w:ind w:left="-142"/>
        <w:jc w:val="both"/>
      </w:pPr>
    </w:p>
    <w:p w:rsidR="000D2ABF" w:rsidRDefault="00AA7E4E" w:rsidP="00AA7E4E">
      <w:pPr>
        <w:ind w:left="567"/>
        <w:jc w:val="both"/>
        <w:rPr>
          <w:i/>
          <w:sz w:val="22"/>
          <w:szCs w:val="22"/>
        </w:rPr>
      </w:pPr>
      <w:r w:rsidRPr="00AA7E4E">
        <w:rPr>
          <w:b/>
          <w:i/>
          <w:sz w:val="22"/>
          <w:szCs w:val="22"/>
        </w:rPr>
        <w:t>4.4</w:t>
      </w:r>
      <w:r w:rsidRPr="00AA7E4E">
        <w:rPr>
          <w:i/>
          <w:sz w:val="22"/>
          <w:szCs w:val="22"/>
        </w:rPr>
        <w:t xml:space="preserve"> </w:t>
      </w:r>
      <w:r w:rsidR="000D2ABF" w:rsidRPr="00AA7E4E">
        <w:rPr>
          <w:i/>
          <w:sz w:val="22"/>
          <w:szCs w:val="22"/>
        </w:rPr>
        <w:t>Replantear el cronograma de actividades presentado por el señor Manuel Francisco López Corrales, Jefe del Departamento de Desarrollo de Servicios Educativos, tendientes a la elaboración de la normativa institucional de políticas y procedimientos que ordene la toma</w:t>
      </w:r>
      <w:r w:rsidRPr="00AA7E4E">
        <w:rPr>
          <w:i/>
          <w:sz w:val="22"/>
          <w:szCs w:val="22"/>
        </w:rPr>
        <w:t xml:space="preserve"> de decisiones en esta materia,</w:t>
      </w:r>
    </w:p>
    <w:p w:rsidR="00AA7E4E" w:rsidRDefault="00AA7E4E" w:rsidP="00AA7E4E">
      <w:pPr>
        <w:ind w:left="567"/>
        <w:jc w:val="both"/>
        <w:rPr>
          <w:i/>
          <w:sz w:val="22"/>
          <w:szCs w:val="22"/>
        </w:rPr>
      </w:pPr>
    </w:p>
    <w:p w:rsidR="002100F9" w:rsidRDefault="002100F9" w:rsidP="00221C0F">
      <w:pPr>
        <w:jc w:val="both"/>
      </w:pPr>
    </w:p>
    <w:p w:rsidR="002100F9" w:rsidRDefault="002100F9" w:rsidP="00221C0F">
      <w:pPr>
        <w:jc w:val="both"/>
      </w:pPr>
    </w:p>
    <w:p w:rsidR="00AA7E4E" w:rsidRPr="00AA7E4E" w:rsidRDefault="00AA7E4E" w:rsidP="00221C0F">
      <w:pPr>
        <w:jc w:val="both"/>
      </w:pPr>
      <w:r w:rsidRPr="00AA7E4E">
        <w:t xml:space="preserve">De acuerdo, a la documentación que fue solicitada y la aportada por el auditado, oficios DPI-0682-2018, del 18 de julio del 2018 y DPI-DDSE-3228-2018 con fecha del 23 de julio del 2018, se indica que la Dirección de Planificación Institucional elaboró un manual de </w:t>
      </w:r>
      <w:r w:rsidRPr="00AA7E4E">
        <w:lastRenderedPageBreak/>
        <w:t>procedimientos para ordenar las gestiones relacionadas con la solicitud, análisis y asignación de recursos para las organizaciones beneficiarias del apoyo Educativo Interinstitucional. Dicho manual se encuentra actualizado y contiene los procedimientos que deben de seguirse para la aprobación de recursos humanos para colaborar con los objetivos de las instituciones u organizaciones que brindan atención a poblaciones en desventaja social (antigua Región 70).</w:t>
      </w:r>
    </w:p>
    <w:p w:rsidR="00AA7E4E" w:rsidRPr="00AA7E4E" w:rsidRDefault="00AA7E4E" w:rsidP="00221C0F">
      <w:pPr>
        <w:jc w:val="both"/>
      </w:pPr>
    </w:p>
    <w:p w:rsidR="00AA7E4E" w:rsidRPr="00AA7E4E" w:rsidRDefault="00AA7E4E" w:rsidP="00221C0F">
      <w:pPr>
        <w:jc w:val="both"/>
      </w:pPr>
      <w:r w:rsidRPr="00AA7E4E">
        <w:t>Para las instituciones y organizaciones de bien social, el Ministerio de Educación Pública se encarga de facilitar personal docente mediante el otorgamiento de nombramientos en calidad de interinos para que laboren en sus instalaciones, de modo que la población atendida reciba servicios de calidad por parte del profesional encargado que refuerce lo recibido en el aula.</w:t>
      </w:r>
    </w:p>
    <w:p w:rsidR="00AA7E4E" w:rsidRPr="00AA7E4E" w:rsidRDefault="00AA7E4E" w:rsidP="00221C0F">
      <w:pPr>
        <w:jc w:val="both"/>
      </w:pPr>
    </w:p>
    <w:p w:rsidR="00AA7E4E" w:rsidRPr="00AA7E4E" w:rsidRDefault="00AA7E4E" w:rsidP="00221C0F">
      <w:r w:rsidRPr="00AA7E4E">
        <w:t>Los procedimientos aprobados que se encuentran en dicho manual son los siguientes:</w:t>
      </w:r>
    </w:p>
    <w:p w:rsidR="00AA7E4E" w:rsidRPr="00AA7E4E" w:rsidRDefault="00AA7E4E" w:rsidP="00AA7E4E">
      <w:pPr>
        <w:ind w:left="567"/>
        <w:rPr>
          <w:i/>
          <w:sz w:val="22"/>
          <w:szCs w:val="22"/>
        </w:rPr>
      </w:pPr>
    </w:p>
    <w:p w:rsidR="002100F9" w:rsidRPr="002100F9" w:rsidRDefault="00AA7E4E" w:rsidP="00221C0F">
      <w:pPr>
        <w:pStyle w:val="Prrafodelista"/>
        <w:numPr>
          <w:ilvl w:val="0"/>
          <w:numId w:val="6"/>
        </w:numPr>
        <w:jc w:val="both"/>
        <w:rPr>
          <w:rFonts w:ascii="Times New Roman" w:hAnsi="Times New Roman" w:cs="Times New Roman"/>
          <w:sz w:val="24"/>
          <w:szCs w:val="24"/>
        </w:rPr>
      </w:pPr>
      <w:r w:rsidRPr="002100F9">
        <w:rPr>
          <w:rFonts w:ascii="Times New Roman" w:hAnsi="Times New Roman" w:cs="Times New Roman"/>
          <w:sz w:val="24"/>
          <w:szCs w:val="24"/>
        </w:rPr>
        <w:t>Solicitud de Otorgamiento de Apoyo Educativo Interinstitucional por parte del Ministerio de Educación Pública.</w:t>
      </w:r>
    </w:p>
    <w:p w:rsidR="002100F9" w:rsidRPr="002100F9" w:rsidRDefault="00AA7E4E" w:rsidP="00221C0F">
      <w:pPr>
        <w:pStyle w:val="Prrafodelista"/>
        <w:numPr>
          <w:ilvl w:val="0"/>
          <w:numId w:val="6"/>
        </w:numPr>
        <w:jc w:val="both"/>
        <w:rPr>
          <w:rFonts w:ascii="Times New Roman" w:hAnsi="Times New Roman" w:cs="Times New Roman"/>
          <w:sz w:val="24"/>
          <w:szCs w:val="24"/>
        </w:rPr>
      </w:pPr>
      <w:r w:rsidRPr="002100F9">
        <w:rPr>
          <w:rFonts w:ascii="Times New Roman" w:hAnsi="Times New Roman" w:cs="Times New Roman"/>
          <w:sz w:val="24"/>
          <w:szCs w:val="24"/>
        </w:rPr>
        <w:t>Análisis para la aprobación o denegación de la solicitud de “Otorgamiento de Apoyo Educativo Interinstitucional por parte del Ministerio de Educación Pública.”</w:t>
      </w:r>
    </w:p>
    <w:p w:rsidR="002100F9" w:rsidRPr="002100F9" w:rsidRDefault="00AA7E4E" w:rsidP="00221C0F">
      <w:pPr>
        <w:pStyle w:val="Prrafodelista"/>
        <w:numPr>
          <w:ilvl w:val="0"/>
          <w:numId w:val="6"/>
        </w:numPr>
        <w:jc w:val="both"/>
        <w:rPr>
          <w:rFonts w:ascii="Times New Roman" w:hAnsi="Times New Roman" w:cs="Times New Roman"/>
          <w:sz w:val="24"/>
          <w:szCs w:val="24"/>
        </w:rPr>
      </w:pPr>
      <w:r w:rsidRPr="002100F9">
        <w:rPr>
          <w:rFonts w:ascii="Times New Roman" w:hAnsi="Times New Roman" w:cs="Times New Roman"/>
          <w:sz w:val="24"/>
          <w:szCs w:val="24"/>
        </w:rPr>
        <w:t>Análisis para la aprobación de los recursos para el “Otorgamiento de Apoyo Interinstitucional por parte del Ministerio de Educación Pública.”</w:t>
      </w:r>
    </w:p>
    <w:p w:rsidR="002100F9" w:rsidRPr="002100F9" w:rsidRDefault="00AA7E4E" w:rsidP="00221C0F">
      <w:pPr>
        <w:pStyle w:val="Prrafodelista"/>
        <w:numPr>
          <w:ilvl w:val="0"/>
          <w:numId w:val="6"/>
        </w:numPr>
        <w:jc w:val="both"/>
        <w:rPr>
          <w:rFonts w:ascii="Times New Roman" w:hAnsi="Times New Roman" w:cs="Times New Roman"/>
          <w:sz w:val="24"/>
          <w:szCs w:val="24"/>
        </w:rPr>
      </w:pPr>
      <w:r w:rsidRPr="002100F9">
        <w:rPr>
          <w:rFonts w:ascii="Times New Roman" w:hAnsi="Times New Roman" w:cs="Times New Roman"/>
          <w:sz w:val="24"/>
          <w:szCs w:val="24"/>
        </w:rPr>
        <w:t>Trámite de las resoluciones de la Comisión de Regulación de la Oferta Educativa en cuanto a las solicitudes de otorgamiento de apoyo interinstitucional.</w:t>
      </w:r>
    </w:p>
    <w:p w:rsidR="00AA7E4E" w:rsidRPr="002100F9" w:rsidRDefault="00AA7E4E" w:rsidP="00221C0F">
      <w:pPr>
        <w:pStyle w:val="Prrafodelista"/>
        <w:numPr>
          <w:ilvl w:val="0"/>
          <w:numId w:val="6"/>
        </w:numPr>
        <w:jc w:val="both"/>
        <w:rPr>
          <w:rFonts w:ascii="Times New Roman" w:hAnsi="Times New Roman" w:cs="Times New Roman"/>
          <w:sz w:val="24"/>
          <w:szCs w:val="24"/>
        </w:rPr>
      </w:pPr>
      <w:r w:rsidRPr="002100F9">
        <w:rPr>
          <w:rFonts w:ascii="Times New Roman" w:hAnsi="Times New Roman" w:cs="Times New Roman"/>
          <w:sz w:val="24"/>
          <w:szCs w:val="24"/>
        </w:rPr>
        <w:t>Control y seguimiento.</w:t>
      </w:r>
    </w:p>
    <w:p w:rsidR="00AA7E4E" w:rsidRPr="00221C0F" w:rsidRDefault="00AA7E4E" w:rsidP="00221C0F">
      <w:pPr>
        <w:jc w:val="both"/>
      </w:pPr>
      <w:r w:rsidRPr="00221C0F">
        <w:t>El Manual es de aplicación obligatoria en todos sus extremos para los procedimientos que corresponden al Departamento de Desarrollo de Servicios Educativos, en esta materia, de tal forma que la recomendación se encuentra cumplida.</w:t>
      </w:r>
    </w:p>
    <w:p w:rsidR="000D2ABF" w:rsidRPr="00AA7E4E" w:rsidRDefault="000D2ABF" w:rsidP="00AA7E4E">
      <w:pPr>
        <w:ind w:left="567"/>
        <w:jc w:val="both"/>
        <w:rPr>
          <w:rStyle w:val="Ttulo3Car"/>
          <w:rFonts w:ascii="Times New Roman" w:hAnsi="Times New Roman" w:cs="Times New Roman"/>
          <w:i/>
          <w:sz w:val="22"/>
          <w:szCs w:val="22"/>
        </w:rPr>
      </w:pPr>
    </w:p>
    <w:p w:rsidR="000D2ABF" w:rsidRPr="00AA7E4E" w:rsidRDefault="000D2ABF" w:rsidP="00AA7E4E">
      <w:pPr>
        <w:ind w:left="567"/>
        <w:jc w:val="both"/>
        <w:rPr>
          <w:rStyle w:val="Ttulo3Car"/>
          <w:rFonts w:ascii="Times New Roman" w:hAnsi="Times New Roman" w:cs="Times New Roman"/>
          <w:i/>
          <w:sz w:val="22"/>
          <w:szCs w:val="22"/>
        </w:rPr>
      </w:pPr>
    </w:p>
    <w:p w:rsidR="000D2ABF" w:rsidRPr="00221C0F" w:rsidRDefault="00221C0F" w:rsidP="00221C0F">
      <w:pPr>
        <w:ind w:left="567"/>
        <w:rPr>
          <w:i/>
          <w:sz w:val="22"/>
          <w:szCs w:val="22"/>
        </w:rPr>
      </w:pPr>
      <w:r w:rsidRPr="00221C0F">
        <w:rPr>
          <w:i/>
          <w:sz w:val="22"/>
          <w:szCs w:val="22"/>
        </w:rPr>
        <w:t xml:space="preserve">4.5 </w:t>
      </w:r>
      <w:r w:rsidR="000D2ABF" w:rsidRPr="00221C0F">
        <w:rPr>
          <w:i/>
          <w:sz w:val="22"/>
          <w:szCs w:val="22"/>
        </w:rPr>
        <w:t>Firmar un convenio con cada entidad a la que se le acuerde transferir recursos, en el que se definan las responsabilidades y obligaciones de la organización beneficiaria.</w:t>
      </w:r>
    </w:p>
    <w:p w:rsidR="000D2ABF" w:rsidRPr="00AA7E4E" w:rsidRDefault="000D2ABF" w:rsidP="00AA7E4E">
      <w:pPr>
        <w:ind w:left="567"/>
        <w:jc w:val="both"/>
        <w:rPr>
          <w:i/>
          <w:sz w:val="22"/>
          <w:szCs w:val="22"/>
        </w:rPr>
      </w:pPr>
    </w:p>
    <w:p w:rsidR="000D2ABF" w:rsidRPr="00AA7E4E" w:rsidRDefault="000D2ABF" w:rsidP="00AA7E4E">
      <w:pPr>
        <w:ind w:left="567"/>
        <w:jc w:val="both"/>
        <w:rPr>
          <w:i/>
          <w:sz w:val="22"/>
          <w:szCs w:val="22"/>
        </w:rPr>
      </w:pPr>
      <w:r w:rsidRPr="00AA7E4E">
        <w:rPr>
          <w:i/>
          <w:sz w:val="22"/>
          <w:szCs w:val="22"/>
        </w:rPr>
        <w:t>Dentro de la Región 70 se registraban en el año 2011 una serie de instituciones de distinta naturaleza; instituciones públicas mal ubicadas presupuestariamente, organizaciones con Apoyo Interinstitucional, instituciones beneficiarias del Estímulo estatal a la Educación Privada, entre otras.</w:t>
      </w:r>
    </w:p>
    <w:p w:rsidR="000D2ABF" w:rsidRPr="00AA7E4E" w:rsidRDefault="000D2ABF" w:rsidP="00AA7E4E">
      <w:pPr>
        <w:ind w:left="567"/>
        <w:jc w:val="both"/>
        <w:rPr>
          <w:i/>
          <w:sz w:val="22"/>
          <w:szCs w:val="22"/>
        </w:rPr>
      </w:pPr>
    </w:p>
    <w:p w:rsidR="000D2ABF" w:rsidRPr="00AA7E4E" w:rsidRDefault="000D2ABF" w:rsidP="00AA7E4E">
      <w:pPr>
        <w:ind w:left="567"/>
        <w:jc w:val="both"/>
        <w:rPr>
          <w:i/>
          <w:sz w:val="22"/>
          <w:szCs w:val="22"/>
        </w:rPr>
      </w:pPr>
      <w:r w:rsidRPr="00AA7E4E">
        <w:rPr>
          <w:i/>
          <w:sz w:val="22"/>
          <w:szCs w:val="22"/>
        </w:rPr>
        <w:t>Sin incluir las instituciones subvencionadas, teníamos en el año 2011, un total de 55 instituciones, de las cuales, las que correspondían a dependencias de naturaleza pública se trasladaron al programa presupuestario y la región correspondiente.</w:t>
      </w:r>
    </w:p>
    <w:p w:rsidR="000D2ABF" w:rsidRPr="00AA7E4E" w:rsidRDefault="000D2ABF" w:rsidP="00AA7E4E">
      <w:pPr>
        <w:ind w:left="567"/>
        <w:jc w:val="both"/>
        <w:rPr>
          <w:i/>
          <w:sz w:val="22"/>
          <w:szCs w:val="22"/>
        </w:rPr>
      </w:pPr>
    </w:p>
    <w:p w:rsidR="000D2ABF" w:rsidRPr="00AA7E4E" w:rsidRDefault="000D2ABF" w:rsidP="00AA7E4E">
      <w:pPr>
        <w:ind w:left="567"/>
        <w:jc w:val="both"/>
        <w:rPr>
          <w:i/>
          <w:sz w:val="22"/>
          <w:szCs w:val="22"/>
        </w:rPr>
      </w:pPr>
      <w:r w:rsidRPr="00AA7E4E">
        <w:rPr>
          <w:i/>
          <w:sz w:val="22"/>
          <w:szCs w:val="22"/>
        </w:rPr>
        <w:t>Otros servicios públicos cambiaron de modalidad como ejemplo los servicios que ofrecían en los Hogares CREA, bajo la modalidad de Telesecundaria, que fueron transformados a satélites de IPEC/CINDEA.</w:t>
      </w:r>
    </w:p>
    <w:p w:rsidR="000D2ABF" w:rsidRPr="00AA7E4E" w:rsidRDefault="000D2ABF" w:rsidP="00AA7E4E">
      <w:pPr>
        <w:ind w:left="567"/>
        <w:jc w:val="both"/>
        <w:rPr>
          <w:i/>
          <w:sz w:val="22"/>
          <w:szCs w:val="22"/>
        </w:rPr>
      </w:pPr>
    </w:p>
    <w:p w:rsidR="000D2ABF" w:rsidRPr="00AA7E4E" w:rsidRDefault="000D2ABF" w:rsidP="00AA7E4E">
      <w:pPr>
        <w:ind w:left="567"/>
        <w:jc w:val="both"/>
        <w:rPr>
          <w:i/>
          <w:sz w:val="22"/>
          <w:szCs w:val="22"/>
        </w:rPr>
      </w:pPr>
      <w:r w:rsidRPr="00AA7E4E">
        <w:rPr>
          <w:i/>
          <w:sz w:val="22"/>
          <w:szCs w:val="22"/>
        </w:rPr>
        <w:lastRenderedPageBreak/>
        <w:t>Muchos de los apoyos fueron eliminados luego del análisis realizado en la Reunión de Coordinación (Ministro y Viceministros) en sesión realizada el 19 de octubre de 2011 en el Despacho del Ministro, en donde se tomaron importantes decisiones que quedaron plasmadas en el documento Análisis de los recursos incluidos en la Región 70 en donde se acordó “1- Propiciar la firma de un convenio con el PANI…”</w:t>
      </w:r>
    </w:p>
    <w:p w:rsidR="000D2ABF" w:rsidRPr="000D2ABF" w:rsidRDefault="000D2ABF" w:rsidP="000D2ABF">
      <w:pPr>
        <w:jc w:val="both"/>
      </w:pPr>
    </w:p>
    <w:p w:rsidR="000D2ABF" w:rsidRPr="000D2ABF" w:rsidRDefault="000D2ABF" w:rsidP="000D2ABF">
      <w:pPr>
        <w:jc w:val="both"/>
      </w:pPr>
      <w:r w:rsidRPr="000D2ABF">
        <w:t>En referencia a la revisión efectuada sobre el tema, por esta Auditoría Interna, se logró evidenciar que entre el Ministerio de Educación Pública (MEP) y el Patronato Nacional de la Infancia (PANI), existe el Convenio Marco denominado: “Convenio Marco de Cooperación entre el Ministerio de Educación Pública y el Patronato Nacional de la Infancia”.</w:t>
      </w:r>
    </w:p>
    <w:p w:rsidR="000D2ABF" w:rsidRPr="000D2ABF" w:rsidRDefault="000D2ABF" w:rsidP="000D2ABF">
      <w:pPr>
        <w:jc w:val="both"/>
      </w:pPr>
    </w:p>
    <w:p w:rsidR="000D2ABF" w:rsidRPr="000D2ABF" w:rsidRDefault="000D2ABF" w:rsidP="000D2ABF">
      <w:pPr>
        <w:jc w:val="both"/>
      </w:pPr>
      <w:r w:rsidRPr="000D2ABF">
        <w:t>Haciendo un recuento de las instituciones que aún reciben Apoyo Interinstitucional al año 2018 y  no cuentan con convenio, se contabilizan 17 organizaciones, las cuales serán objeto de firma de un convenio para destacar el personal MEP en las mencionadas instancias.</w:t>
      </w:r>
    </w:p>
    <w:p w:rsidR="000D2ABF" w:rsidRPr="000D2ABF" w:rsidRDefault="000D2ABF" w:rsidP="000D2ABF">
      <w:pPr>
        <w:jc w:val="both"/>
      </w:pPr>
    </w:p>
    <w:p w:rsidR="000D2ABF" w:rsidRPr="000D2ABF" w:rsidRDefault="000D2ABF" w:rsidP="000D2ABF">
      <w:pPr>
        <w:jc w:val="both"/>
      </w:pPr>
      <w:r w:rsidRPr="000D2ABF">
        <w:t>En la pasada Administración se conformó una Comisión desde el Despacho Académico con representantes de la Dirección de Asuntos Jurídicos, la Dirección de Recursos Humanos, la Dirección de Planificación Institucional, la Dirección de Educación Privada, la cual analizó la situación de las 17 organizaciones que son beneficiadas con el Apoyo Interinstitucional y se decidió que debido al volumen de trabajo de la Dirección de Asuntos Jurídicos se iban a ir resolviendo los casos de manera gradual por lo que se escogieron inicialmente 3 instituciones para estudiar la situación y suscribir convenio, entre ellas el Hospicio de Huérfanos de San José.</w:t>
      </w:r>
    </w:p>
    <w:p w:rsidR="000D2ABF" w:rsidRPr="000D2ABF" w:rsidRDefault="000D2ABF" w:rsidP="000D2ABF">
      <w:pPr>
        <w:jc w:val="both"/>
      </w:pPr>
    </w:p>
    <w:p w:rsidR="000D2ABF" w:rsidRPr="000D2ABF" w:rsidRDefault="000D2ABF" w:rsidP="000D2ABF">
      <w:pPr>
        <w:jc w:val="both"/>
      </w:pPr>
      <w:r w:rsidRPr="000D2ABF">
        <w:t xml:space="preserve">Para iniciar con las gestiones, se les invitó a participar en una reunión en el Despacho de la Ministra con el fin de exponer la situación y la necesidad de suscribir los convenios. Se acordó además, realizar visitas a las tres organizaciones seleccionadas. A partir de esas visitas el Hospicio de Huérfanos mostró interés en ser beneficiaria del Estímulo estatal a la Educación Privada, sin embargo debido a las restricciones presupuestarias que enfrenta el MEP para la disponibilidad de plazas, no es viable en el periodo 2018, consecuentemente, la recomendación queda en proceso de cumplimiento hasta que se indique y envíe a esta Auditoria Interna el contrato de Estímulo estatal a la Educación Privada firmado con el Hospicio de Huérfanos. </w:t>
      </w:r>
    </w:p>
    <w:p w:rsidR="000D2ABF" w:rsidRPr="000D2ABF" w:rsidRDefault="000D2ABF" w:rsidP="000D2ABF">
      <w:pPr>
        <w:jc w:val="both"/>
      </w:pPr>
    </w:p>
    <w:p w:rsidR="000D2ABF" w:rsidRDefault="006B3D77" w:rsidP="002100F9">
      <w:pPr>
        <w:ind w:left="567"/>
        <w:jc w:val="both"/>
        <w:rPr>
          <w:i/>
          <w:sz w:val="22"/>
          <w:szCs w:val="22"/>
        </w:rPr>
      </w:pPr>
      <w:r w:rsidRPr="006B3D77">
        <w:rPr>
          <w:b/>
          <w:i/>
          <w:sz w:val="22"/>
          <w:szCs w:val="22"/>
        </w:rPr>
        <w:t>4.6</w:t>
      </w:r>
      <w:r w:rsidRPr="006B3D77">
        <w:rPr>
          <w:i/>
          <w:sz w:val="22"/>
          <w:szCs w:val="22"/>
        </w:rPr>
        <w:t xml:space="preserve"> </w:t>
      </w:r>
      <w:r w:rsidR="000D2ABF" w:rsidRPr="006B3D77">
        <w:rPr>
          <w:i/>
          <w:sz w:val="22"/>
          <w:szCs w:val="22"/>
        </w:rPr>
        <w:t>Exigir a cada organización que reciba el apoyo institucional y concretamente al HHSJ, un informe de resultados del periodo lectivo para determinar si es conveniente renovar la asignación de recursos para el año subsiguiente.</w:t>
      </w:r>
    </w:p>
    <w:p w:rsidR="006B3D77" w:rsidRDefault="006B3D77" w:rsidP="006B3D77">
      <w:pPr>
        <w:ind w:left="567"/>
        <w:rPr>
          <w:i/>
          <w:sz w:val="22"/>
          <w:szCs w:val="22"/>
        </w:rPr>
      </w:pPr>
    </w:p>
    <w:p w:rsidR="002100F9" w:rsidRDefault="006B3D77" w:rsidP="002100F9">
      <w:pPr>
        <w:jc w:val="both"/>
      </w:pPr>
      <w:r w:rsidRPr="006B3D77">
        <w:t xml:space="preserve">En el oficio DPI-DDSE-3228-2018, con fecha del 23 de julio de 2018, firmado por la jefe del Departamento de Desarrollo Curricular, se indica que para los años 2016 y 2017, se solicitó a cada una de las organizaciones que aún no tienen convenio, enviar un informe con el fin de respaldar la continuidad del apoyo. </w:t>
      </w:r>
    </w:p>
    <w:p w:rsidR="006B3D77" w:rsidRPr="006B3D77" w:rsidRDefault="006B3D77" w:rsidP="002100F9">
      <w:pPr>
        <w:jc w:val="both"/>
      </w:pPr>
      <w:r w:rsidRPr="006B3D77">
        <w:t>Se adjuntó además una matriz en donde se solicitó información de los estudiantes beneficiados del apoyo. Sin embargo a finales del año 2016, la Dirección de Recursos Humanos comunicó que si no existía convenio no se iban a prorrogar los recursos.</w:t>
      </w:r>
    </w:p>
    <w:p w:rsidR="000D2ABF" w:rsidRPr="000D2ABF" w:rsidRDefault="000D2ABF" w:rsidP="000D2ABF">
      <w:pPr>
        <w:jc w:val="both"/>
        <w:rPr>
          <w:rStyle w:val="Ttulo3Car"/>
          <w:rFonts w:ascii="Times New Roman" w:hAnsi="Times New Roman" w:cs="Times New Roman"/>
          <w:i/>
        </w:rPr>
      </w:pPr>
    </w:p>
    <w:p w:rsidR="000D2ABF" w:rsidRPr="000D2ABF" w:rsidRDefault="000D2ABF" w:rsidP="000D2ABF">
      <w:pPr>
        <w:autoSpaceDE w:val="0"/>
        <w:autoSpaceDN w:val="0"/>
        <w:adjustRightInd w:val="0"/>
        <w:jc w:val="both"/>
      </w:pPr>
      <w:bookmarkStart w:id="5" w:name="_Toc485284887"/>
      <w:r w:rsidRPr="000D2ABF">
        <w:lastRenderedPageBreak/>
        <w:t>Ante esta situación, el caso fue analizado en dos sesiones de la Comisión de Regulación de la Oferta Educativa, específicamente en las sesiones 05-2016 y 06-2016 y se decidió solicitar a la DRH prorrogar los nombramientos para aquellas instituciones que habían presentado la información solicitada por el Departamento de Desarrollo de Servicios Educativos y que en el transcurso del año 2017 se continuara con la elaboración de convenios con el fin de poner a derecho la situación de cada una de las organizaciones beneficiarias.</w:t>
      </w:r>
    </w:p>
    <w:p w:rsidR="000D2ABF" w:rsidRPr="000D2ABF" w:rsidRDefault="000D2ABF" w:rsidP="000D2ABF">
      <w:pPr>
        <w:autoSpaceDE w:val="0"/>
        <w:autoSpaceDN w:val="0"/>
        <w:adjustRightInd w:val="0"/>
        <w:jc w:val="both"/>
      </w:pPr>
    </w:p>
    <w:p w:rsidR="000D2ABF" w:rsidRPr="000D2ABF" w:rsidRDefault="000D2ABF" w:rsidP="000D2ABF">
      <w:pPr>
        <w:autoSpaceDE w:val="0"/>
        <w:autoSpaceDN w:val="0"/>
        <w:adjustRightInd w:val="0"/>
        <w:jc w:val="both"/>
        <w:rPr>
          <w:rStyle w:val="Ttulo3Car"/>
          <w:rFonts w:ascii="Times New Roman" w:hAnsi="Times New Roman" w:cs="Times New Roman"/>
          <w:i/>
        </w:rPr>
      </w:pPr>
      <w:r w:rsidRPr="000D2ABF">
        <w:t>Aunado a lo anterior y ante la falta de convenios también se emitieron desde el Despacho de la Ministra las Resoluciones N°3499-MEP-2016 y DM-069-MEP-2018, mediante las cuales se autorizaba a continuar con el apoyo mientras se realizaban las gestiones necesarias para que las organizaciones beneficiarias iniciaran o completaran los procesos de acreditación como centro educativo privado y/o la negociación de un convenio de estímulo estatal.</w:t>
      </w:r>
    </w:p>
    <w:p w:rsidR="000D2ABF" w:rsidRPr="000D2ABF" w:rsidRDefault="000D2ABF" w:rsidP="000D2ABF">
      <w:pPr>
        <w:jc w:val="both"/>
        <w:rPr>
          <w:rStyle w:val="Ttulo3Car"/>
          <w:rFonts w:ascii="Times New Roman" w:hAnsi="Times New Roman" w:cs="Times New Roman"/>
          <w:i/>
        </w:rPr>
      </w:pPr>
      <w:bookmarkStart w:id="6" w:name="_Toc485284888"/>
      <w:bookmarkEnd w:id="5"/>
    </w:p>
    <w:p w:rsidR="000D2ABF" w:rsidRDefault="000D2ABF" w:rsidP="000D2ABF">
      <w:pPr>
        <w:autoSpaceDE w:val="0"/>
        <w:autoSpaceDN w:val="0"/>
        <w:adjustRightInd w:val="0"/>
        <w:jc w:val="both"/>
      </w:pPr>
      <w:r w:rsidRPr="000D2ABF">
        <w:t>Se cuenta también con un documento que se elaboró en el año 2016 que integra toda la información emanada por las diferentes organizaciones beneficiarias. Se solicitó nuevamente información detallada de las organizaciones beneficiarias en el año 2017 con el fin de considerar la prórroga para el Curso Lectivo 2018.</w:t>
      </w:r>
      <w:r w:rsidR="006B3D77">
        <w:t xml:space="preserve">  </w:t>
      </w:r>
      <w:r w:rsidRPr="000D2ABF">
        <w:t>De acuerdo con todo lo mencionado anteriormente, se determina que la recomendación está cumplida.</w:t>
      </w:r>
    </w:p>
    <w:p w:rsidR="006B3D77" w:rsidRDefault="006B3D77" w:rsidP="000D2ABF">
      <w:pPr>
        <w:autoSpaceDE w:val="0"/>
        <w:autoSpaceDN w:val="0"/>
        <w:adjustRightInd w:val="0"/>
        <w:jc w:val="both"/>
      </w:pPr>
    </w:p>
    <w:p w:rsidR="006B3D77" w:rsidRPr="006B3D77" w:rsidRDefault="006B3D77" w:rsidP="006B3D77">
      <w:pPr>
        <w:autoSpaceDE w:val="0"/>
        <w:autoSpaceDN w:val="0"/>
        <w:adjustRightInd w:val="0"/>
        <w:ind w:left="567"/>
        <w:jc w:val="both"/>
        <w:rPr>
          <w:b/>
          <w:sz w:val="22"/>
          <w:szCs w:val="22"/>
        </w:rPr>
      </w:pPr>
      <w:r w:rsidRPr="006B3D77">
        <w:rPr>
          <w:b/>
          <w:sz w:val="22"/>
          <w:szCs w:val="22"/>
        </w:rPr>
        <w:t>Dirección de Recursos Humanos</w:t>
      </w:r>
    </w:p>
    <w:p w:rsidR="006B3D77" w:rsidRPr="006B3D77" w:rsidRDefault="006B3D77" w:rsidP="006B3D77">
      <w:pPr>
        <w:autoSpaceDE w:val="0"/>
        <w:autoSpaceDN w:val="0"/>
        <w:adjustRightInd w:val="0"/>
        <w:ind w:left="567"/>
        <w:jc w:val="both"/>
        <w:rPr>
          <w:sz w:val="22"/>
          <w:szCs w:val="22"/>
        </w:rPr>
      </w:pPr>
    </w:p>
    <w:p w:rsidR="000D2ABF" w:rsidRPr="006B3D77" w:rsidRDefault="006B3D77" w:rsidP="006B3D77">
      <w:pPr>
        <w:autoSpaceDE w:val="0"/>
        <w:autoSpaceDN w:val="0"/>
        <w:adjustRightInd w:val="0"/>
        <w:ind w:left="567"/>
        <w:jc w:val="both"/>
        <w:rPr>
          <w:i/>
          <w:sz w:val="22"/>
          <w:szCs w:val="22"/>
        </w:rPr>
      </w:pPr>
      <w:r w:rsidRPr="006B3D77">
        <w:rPr>
          <w:b/>
          <w:sz w:val="22"/>
          <w:szCs w:val="22"/>
        </w:rPr>
        <w:t>4.7</w:t>
      </w:r>
      <w:bookmarkEnd w:id="6"/>
      <w:r w:rsidRPr="006B3D77">
        <w:rPr>
          <w:sz w:val="22"/>
          <w:szCs w:val="22"/>
        </w:rPr>
        <w:t xml:space="preserve"> </w:t>
      </w:r>
      <w:r w:rsidR="000D2ABF" w:rsidRPr="006B3D77">
        <w:rPr>
          <w:i/>
          <w:sz w:val="22"/>
          <w:szCs w:val="22"/>
        </w:rPr>
        <w:t>Ajustar los nombramientos derivados de plazas otorgadas a las diferentes organizaciones de bien social con el procedimiento establecido institucionalmente.</w:t>
      </w:r>
    </w:p>
    <w:p w:rsidR="000D2ABF" w:rsidRPr="000D2ABF" w:rsidRDefault="000D2ABF" w:rsidP="006B3D77">
      <w:pPr>
        <w:ind w:left="567"/>
        <w:jc w:val="both"/>
      </w:pPr>
    </w:p>
    <w:p w:rsidR="000D2ABF" w:rsidRPr="000D2ABF" w:rsidRDefault="000D2ABF" w:rsidP="000D2ABF">
      <w:pPr>
        <w:jc w:val="both"/>
      </w:pPr>
      <w:r w:rsidRPr="000D2ABF">
        <w:t>En documento que aportó el auditado se conoce el oficio DRH-ASIGRH-UPE-190-2017, emitido por el Jefe, de la Unidad de Programas Especiales, el cual indica:</w:t>
      </w:r>
    </w:p>
    <w:p w:rsidR="000D2ABF" w:rsidRPr="000D2ABF" w:rsidRDefault="000D2ABF" w:rsidP="000D2ABF">
      <w:pPr>
        <w:jc w:val="both"/>
      </w:pPr>
    </w:p>
    <w:p w:rsidR="000D2ABF" w:rsidRPr="006B3D77" w:rsidRDefault="000D2ABF" w:rsidP="000D2ABF">
      <w:pPr>
        <w:ind w:left="567"/>
        <w:jc w:val="both"/>
        <w:rPr>
          <w:i/>
          <w:sz w:val="22"/>
          <w:szCs w:val="22"/>
        </w:rPr>
      </w:pPr>
      <w:r w:rsidRPr="006B3D77">
        <w:rPr>
          <w:i/>
          <w:sz w:val="22"/>
          <w:szCs w:val="22"/>
        </w:rPr>
        <w:t xml:space="preserve"> (….)</w:t>
      </w:r>
    </w:p>
    <w:p w:rsidR="000D2ABF" w:rsidRPr="006B3D77" w:rsidRDefault="000D2ABF" w:rsidP="000D2ABF">
      <w:pPr>
        <w:ind w:left="567"/>
        <w:jc w:val="both"/>
        <w:rPr>
          <w:i/>
          <w:sz w:val="22"/>
          <w:szCs w:val="22"/>
        </w:rPr>
      </w:pPr>
    </w:p>
    <w:p w:rsidR="000D2ABF" w:rsidRPr="006B3D77" w:rsidRDefault="000D2ABF" w:rsidP="000D2ABF">
      <w:pPr>
        <w:ind w:left="567"/>
        <w:jc w:val="both"/>
        <w:rPr>
          <w:i/>
          <w:sz w:val="22"/>
          <w:szCs w:val="22"/>
        </w:rPr>
      </w:pPr>
      <w:r w:rsidRPr="006B3D77">
        <w:rPr>
          <w:i/>
          <w:sz w:val="22"/>
          <w:szCs w:val="22"/>
        </w:rPr>
        <w:t xml:space="preserve">Le informo, que tomando en cuenta lo indicado en el Informe 47-10 “Hospicio de Huérfanos” y lo indicado en el oficio DRH-UCS-220-2011, relacionado con el caso de la funcionaria </w:t>
      </w:r>
      <w:proofErr w:type="spellStart"/>
      <w:r w:rsidRPr="006B3D77">
        <w:rPr>
          <w:i/>
          <w:sz w:val="22"/>
          <w:szCs w:val="22"/>
        </w:rPr>
        <w:t>Hazel</w:t>
      </w:r>
      <w:proofErr w:type="spellEnd"/>
      <w:r w:rsidRPr="006B3D77">
        <w:rPr>
          <w:i/>
          <w:sz w:val="22"/>
          <w:szCs w:val="22"/>
        </w:rPr>
        <w:t xml:space="preserve"> Solano Aguilar, a partir del año 2012, no se autorizó ni tramitó el 50% de Recargo de funciones, para laborar en el Hospicio de Huérfanos….</w:t>
      </w:r>
    </w:p>
    <w:p w:rsidR="000D2ABF" w:rsidRPr="006B3D77" w:rsidRDefault="000D2ABF" w:rsidP="000D2ABF">
      <w:pPr>
        <w:ind w:left="567"/>
        <w:jc w:val="both"/>
        <w:rPr>
          <w:i/>
          <w:sz w:val="22"/>
          <w:szCs w:val="22"/>
        </w:rPr>
      </w:pPr>
    </w:p>
    <w:p w:rsidR="000D2ABF" w:rsidRPr="006B3D77" w:rsidRDefault="000D2ABF" w:rsidP="000D2ABF">
      <w:pPr>
        <w:ind w:left="567"/>
        <w:jc w:val="both"/>
        <w:rPr>
          <w:i/>
          <w:sz w:val="22"/>
          <w:szCs w:val="22"/>
        </w:rPr>
      </w:pPr>
      <w:r w:rsidRPr="006B3D77">
        <w:rPr>
          <w:i/>
          <w:sz w:val="22"/>
          <w:szCs w:val="22"/>
        </w:rPr>
        <w:t>Cabe indicar, que a partir del período 2012, la Dirección de Planificación Institucional, vario los recursos autorizados para esta institución con la creación de plazas lo cual suponemos que obedeció a las recomendaciones emitidas en el citado informe.</w:t>
      </w:r>
    </w:p>
    <w:p w:rsidR="000D2ABF" w:rsidRPr="000D2ABF" w:rsidRDefault="000D2ABF" w:rsidP="000D2ABF">
      <w:pPr>
        <w:jc w:val="both"/>
      </w:pPr>
    </w:p>
    <w:p w:rsidR="002100F9" w:rsidRDefault="002100F9" w:rsidP="000D2ABF">
      <w:pPr>
        <w:jc w:val="both"/>
      </w:pPr>
    </w:p>
    <w:p w:rsidR="000D2ABF" w:rsidRPr="000D2ABF" w:rsidRDefault="000D2ABF" w:rsidP="000D2ABF">
      <w:pPr>
        <w:jc w:val="both"/>
      </w:pPr>
      <w:r w:rsidRPr="000D2ABF">
        <w:t>Actualmente los nombramientos de los profesionales se siguen realizando por medio del Apoyo Interinstitucional, mientras las organizaciones continúan con el proceso de acreditación como centro educativo privado y/o realicen un convenio de estímulo estatal. Por lo indicado anteriormente, esta recomendación se encuentra cumplida.</w:t>
      </w:r>
    </w:p>
    <w:p w:rsidR="000D2ABF" w:rsidRPr="000D2ABF" w:rsidRDefault="000D2ABF" w:rsidP="000D2ABF">
      <w:pPr>
        <w:jc w:val="both"/>
      </w:pPr>
    </w:p>
    <w:p w:rsidR="000D2ABF" w:rsidRPr="00E77AFE" w:rsidRDefault="00E77AFE" w:rsidP="00E77AFE">
      <w:pPr>
        <w:ind w:left="567"/>
        <w:jc w:val="both"/>
        <w:rPr>
          <w:i/>
          <w:sz w:val="22"/>
          <w:szCs w:val="22"/>
        </w:rPr>
      </w:pPr>
      <w:r w:rsidRPr="00E77AFE">
        <w:rPr>
          <w:b/>
          <w:i/>
          <w:sz w:val="22"/>
          <w:szCs w:val="22"/>
        </w:rPr>
        <w:t>4.8</w:t>
      </w:r>
      <w:r w:rsidRPr="00E77AFE">
        <w:rPr>
          <w:i/>
          <w:sz w:val="22"/>
          <w:szCs w:val="22"/>
        </w:rPr>
        <w:t xml:space="preserve"> </w:t>
      </w:r>
      <w:r w:rsidR="000D2ABF" w:rsidRPr="00E77AFE">
        <w:rPr>
          <w:i/>
          <w:sz w:val="22"/>
          <w:szCs w:val="22"/>
        </w:rPr>
        <w:t>Designar en el puesto de dirección a un funcionario con disponibilidad de jornada, según el horario hábil establecido por el HHSJ y la normativa vigente; en caso contrario descartar la asignación de la plaza.</w:t>
      </w:r>
    </w:p>
    <w:p w:rsidR="000D2ABF" w:rsidRPr="000D2ABF" w:rsidRDefault="000D2ABF" w:rsidP="000D2ABF">
      <w:pPr>
        <w:jc w:val="both"/>
      </w:pPr>
      <w:r w:rsidRPr="000D2ABF">
        <w:lastRenderedPageBreak/>
        <w:t xml:space="preserve">Con respecto a esta recomendación, la anterior jefa de la Unidad Administrativa, mediante el oficio DRH-ASIGRH-UADM-676-2011, </w:t>
      </w:r>
      <w:r w:rsidR="00E77AFE">
        <w:t>d</w:t>
      </w:r>
      <w:r w:rsidRPr="000D2ABF">
        <w:t>irigido al anterior Director de Recursos Humanos, exterioriza lo siguiente:</w:t>
      </w:r>
    </w:p>
    <w:p w:rsidR="000D2ABF" w:rsidRPr="000D2ABF" w:rsidRDefault="000D2ABF" w:rsidP="000D2ABF">
      <w:pPr>
        <w:jc w:val="both"/>
      </w:pPr>
    </w:p>
    <w:p w:rsidR="000D2ABF" w:rsidRPr="00E77AFE" w:rsidRDefault="000D2ABF" w:rsidP="000D2ABF">
      <w:pPr>
        <w:ind w:left="567"/>
        <w:jc w:val="both"/>
        <w:rPr>
          <w:i/>
          <w:sz w:val="22"/>
          <w:szCs w:val="22"/>
        </w:rPr>
      </w:pPr>
      <w:r w:rsidRPr="00E77AFE">
        <w:rPr>
          <w:i/>
          <w:sz w:val="22"/>
          <w:szCs w:val="22"/>
        </w:rPr>
        <w:t>(….)</w:t>
      </w:r>
    </w:p>
    <w:p w:rsidR="000D2ABF" w:rsidRPr="00E77AFE" w:rsidRDefault="000D2ABF" w:rsidP="000D2ABF">
      <w:pPr>
        <w:ind w:left="567"/>
        <w:jc w:val="both"/>
        <w:rPr>
          <w:i/>
          <w:sz w:val="22"/>
          <w:szCs w:val="22"/>
        </w:rPr>
      </w:pPr>
      <w:r w:rsidRPr="00E77AFE">
        <w:rPr>
          <w:i/>
          <w:sz w:val="22"/>
          <w:szCs w:val="22"/>
        </w:rPr>
        <w:t>Al respecto le indico que, de acuerdo con el Sistema de Formulación Presupuestaria al Hospicio de Huérfanos de San José, no se le asigna ningún código de director, por lo que, no es posible realizar un nombramiento de algún funcionario a tiempo completo.</w:t>
      </w:r>
    </w:p>
    <w:p w:rsidR="000D2ABF" w:rsidRPr="00E77AFE" w:rsidRDefault="000D2ABF" w:rsidP="000D2ABF">
      <w:pPr>
        <w:ind w:left="567"/>
        <w:jc w:val="both"/>
        <w:rPr>
          <w:i/>
          <w:sz w:val="22"/>
          <w:szCs w:val="22"/>
        </w:rPr>
      </w:pPr>
    </w:p>
    <w:p w:rsidR="000D2ABF" w:rsidRPr="00E77AFE" w:rsidRDefault="000D2ABF" w:rsidP="000D2ABF">
      <w:pPr>
        <w:ind w:left="567"/>
        <w:jc w:val="both"/>
        <w:rPr>
          <w:i/>
          <w:sz w:val="22"/>
          <w:szCs w:val="22"/>
        </w:rPr>
      </w:pPr>
      <w:r w:rsidRPr="00E77AFE">
        <w:rPr>
          <w:i/>
          <w:sz w:val="22"/>
          <w:szCs w:val="22"/>
        </w:rPr>
        <w:t>Ahora bien, si lo que se desea es nombrar a u funcionario como Director del Hospicio de Huérfanos de San José, el Departamento de Formulación Presupuestaria debe de coordinar con el Departamento de Centros Privados la autorización presupuestaria del código respectivo. Posterior a ese trámite se gestiona el nombramiento interino en l</w:t>
      </w:r>
      <w:r w:rsidR="00E77AFE">
        <w:rPr>
          <w:i/>
          <w:sz w:val="22"/>
          <w:szCs w:val="22"/>
        </w:rPr>
        <w:t>a</w:t>
      </w:r>
      <w:r w:rsidRPr="00E77AFE">
        <w:rPr>
          <w:i/>
          <w:sz w:val="22"/>
          <w:szCs w:val="22"/>
        </w:rPr>
        <w:t xml:space="preserve"> plaza.  </w:t>
      </w:r>
    </w:p>
    <w:p w:rsidR="000D2ABF" w:rsidRPr="00E77AFE" w:rsidRDefault="000D2ABF" w:rsidP="000D2ABF">
      <w:pPr>
        <w:ind w:left="567"/>
        <w:jc w:val="both"/>
        <w:rPr>
          <w:i/>
          <w:sz w:val="22"/>
          <w:szCs w:val="22"/>
        </w:rPr>
      </w:pPr>
    </w:p>
    <w:p w:rsidR="000D2ABF" w:rsidRPr="00E77AFE" w:rsidRDefault="000D2ABF" w:rsidP="000D2ABF">
      <w:pPr>
        <w:ind w:left="567"/>
        <w:jc w:val="both"/>
        <w:rPr>
          <w:sz w:val="22"/>
          <w:szCs w:val="22"/>
        </w:rPr>
      </w:pPr>
      <w:r w:rsidRPr="00E77AFE">
        <w:rPr>
          <w:i/>
          <w:sz w:val="22"/>
          <w:szCs w:val="22"/>
        </w:rPr>
        <w:t>De lo contrario no es posible llevar a cabo lo recomendando por la Auditoría Interna.</w:t>
      </w:r>
    </w:p>
    <w:p w:rsidR="000D2ABF" w:rsidRPr="000D2ABF" w:rsidRDefault="000D2ABF" w:rsidP="000D2ABF">
      <w:pPr>
        <w:jc w:val="both"/>
      </w:pPr>
    </w:p>
    <w:p w:rsidR="000D2ABF" w:rsidRPr="000D2ABF" w:rsidRDefault="000D2ABF" w:rsidP="000D2ABF">
      <w:pPr>
        <w:jc w:val="both"/>
      </w:pPr>
      <w:r w:rsidRPr="000D2ABF">
        <w:t>Asimismo, se recibió el oficio DRH-ASIGRH-UPE-190-2017, emitido por el Jefe, de la Unidad de Programas Especiales, el cual menciona lo siguiente:</w:t>
      </w:r>
    </w:p>
    <w:p w:rsidR="000D2ABF" w:rsidRPr="000D2ABF" w:rsidRDefault="000D2ABF" w:rsidP="000D2ABF">
      <w:pPr>
        <w:jc w:val="both"/>
      </w:pPr>
    </w:p>
    <w:p w:rsidR="000D2ABF" w:rsidRPr="00E77AFE" w:rsidRDefault="000D2ABF" w:rsidP="000D2ABF">
      <w:pPr>
        <w:ind w:left="567"/>
        <w:jc w:val="both"/>
        <w:rPr>
          <w:i/>
          <w:sz w:val="22"/>
          <w:szCs w:val="22"/>
        </w:rPr>
      </w:pPr>
      <w:r w:rsidRPr="00E77AFE">
        <w:rPr>
          <w:i/>
          <w:sz w:val="22"/>
          <w:szCs w:val="22"/>
        </w:rPr>
        <w:t>Así mismo y de acuerdo con su solicitud le informo que para el presente curso lectivo se encuentran nombrados los siguientes docentes en plazas autorizadas mediante oficio DPI-CCSE-3408-2016.</w:t>
      </w:r>
    </w:p>
    <w:p w:rsidR="000D2ABF" w:rsidRPr="000D2ABF" w:rsidRDefault="000D2ABF" w:rsidP="000D2ABF">
      <w:pPr>
        <w:jc w:val="both"/>
      </w:pPr>
    </w:p>
    <w:tbl>
      <w:tblPr>
        <w:tblStyle w:val="Tabladecuadrcula4-nfasis11"/>
        <w:tblW w:w="7820" w:type="dxa"/>
        <w:jc w:val="center"/>
        <w:tblLayout w:type="fixed"/>
        <w:tblLook w:val="04A0" w:firstRow="1" w:lastRow="0" w:firstColumn="1" w:lastColumn="0" w:noHBand="0" w:noVBand="1"/>
      </w:tblPr>
      <w:tblGrid>
        <w:gridCol w:w="2009"/>
        <w:gridCol w:w="850"/>
        <w:gridCol w:w="850"/>
        <w:gridCol w:w="851"/>
        <w:gridCol w:w="850"/>
        <w:gridCol w:w="1276"/>
        <w:gridCol w:w="1134"/>
      </w:tblGrid>
      <w:tr w:rsidR="007D5787" w:rsidRPr="000D2ABF" w:rsidTr="007D5787">
        <w:trPr>
          <w:cnfStyle w:val="100000000000" w:firstRow="1" w:lastRow="0" w:firstColumn="0" w:lastColumn="0" w:oddVBand="0" w:evenVBand="0" w:oddHBand="0"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2009" w:type="dxa"/>
            <w:vAlign w:val="center"/>
          </w:tcPr>
          <w:p w:rsidR="007D5787" w:rsidRPr="009374E9" w:rsidRDefault="007D5787" w:rsidP="000D2ABF">
            <w:pPr>
              <w:jc w:val="both"/>
              <w:rPr>
                <w:i/>
                <w:sz w:val="20"/>
                <w:szCs w:val="20"/>
              </w:rPr>
            </w:pPr>
            <w:r w:rsidRPr="009374E9">
              <w:rPr>
                <w:i/>
                <w:sz w:val="20"/>
                <w:szCs w:val="20"/>
              </w:rPr>
              <w:t>Cédula</w:t>
            </w:r>
          </w:p>
        </w:tc>
        <w:tc>
          <w:tcPr>
            <w:tcW w:w="850" w:type="dxa"/>
          </w:tcPr>
          <w:p w:rsidR="007D5787" w:rsidRDefault="007D5787" w:rsidP="000D2ABF">
            <w:pPr>
              <w:jc w:val="both"/>
              <w:cnfStyle w:val="100000000000" w:firstRow="1" w:lastRow="0" w:firstColumn="0" w:lastColumn="0" w:oddVBand="0" w:evenVBand="0" w:oddHBand="0" w:evenHBand="0" w:firstRowFirstColumn="0" w:firstRowLastColumn="0" w:lastRowFirstColumn="0" w:lastRowLastColumn="0"/>
              <w:rPr>
                <w:i/>
                <w:sz w:val="16"/>
                <w:szCs w:val="16"/>
              </w:rPr>
            </w:pPr>
            <w:r w:rsidRPr="007D5787">
              <w:rPr>
                <w:i/>
                <w:sz w:val="16"/>
                <w:szCs w:val="16"/>
              </w:rPr>
              <w:t>Nombres</w:t>
            </w:r>
          </w:p>
          <w:p w:rsidR="007D5787" w:rsidRPr="007D5787" w:rsidRDefault="007D5787" w:rsidP="000D2ABF">
            <w:pPr>
              <w:jc w:val="both"/>
              <w:cnfStyle w:val="100000000000" w:firstRow="1" w:lastRow="0" w:firstColumn="0" w:lastColumn="0" w:oddVBand="0" w:evenVBand="0" w:oddHBand="0" w:evenHBand="0" w:firstRowFirstColumn="0" w:firstRowLastColumn="0" w:lastRowFirstColumn="0" w:lastRowLastColumn="0"/>
              <w:rPr>
                <w:i/>
                <w:sz w:val="16"/>
                <w:szCs w:val="16"/>
              </w:rPr>
            </w:pPr>
            <w:r>
              <w:rPr>
                <w:i/>
                <w:sz w:val="16"/>
                <w:szCs w:val="16"/>
              </w:rPr>
              <w:t>*</w:t>
            </w:r>
          </w:p>
        </w:tc>
        <w:tc>
          <w:tcPr>
            <w:tcW w:w="850" w:type="dxa"/>
            <w:vAlign w:val="center"/>
          </w:tcPr>
          <w:p w:rsidR="007D5787" w:rsidRPr="009374E9" w:rsidRDefault="007D5787" w:rsidP="000D2ABF">
            <w:pPr>
              <w:jc w:val="both"/>
              <w:cnfStyle w:val="100000000000" w:firstRow="1" w:lastRow="0" w:firstColumn="0" w:lastColumn="0" w:oddVBand="0" w:evenVBand="0" w:oddHBand="0" w:evenHBand="0" w:firstRowFirstColumn="0" w:firstRowLastColumn="0" w:lastRowFirstColumn="0" w:lastRowLastColumn="0"/>
              <w:rPr>
                <w:b w:val="0"/>
                <w:i/>
                <w:sz w:val="20"/>
                <w:szCs w:val="20"/>
              </w:rPr>
            </w:pPr>
            <w:r w:rsidRPr="009374E9">
              <w:rPr>
                <w:i/>
                <w:sz w:val="20"/>
                <w:szCs w:val="20"/>
              </w:rPr>
              <w:t>Grupo</w:t>
            </w:r>
          </w:p>
        </w:tc>
        <w:tc>
          <w:tcPr>
            <w:tcW w:w="851" w:type="dxa"/>
            <w:vAlign w:val="center"/>
          </w:tcPr>
          <w:p w:rsidR="007D5787" w:rsidRPr="009374E9" w:rsidRDefault="007D5787" w:rsidP="000D2ABF">
            <w:pPr>
              <w:jc w:val="both"/>
              <w:cnfStyle w:val="100000000000" w:firstRow="1" w:lastRow="0" w:firstColumn="0" w:lastColumn="0" w:oddVBand="0" w:evenVBand="0" w:oddHBand="0" w:evenHBand="0" w:firstRowFirstColumn="0" w:firstRowLastColumn="0" w:lastRowFirstColumn="0" w:lastRowLastColumn="0"/>
              <w:rPr>
                <w:b w:val="0"/>
                <w:i/>
                <w:sz w:val="20"/>
                <w:szCs w:val="20"/>
              </w:rPr>
            </w:pPr>
            <w:r w:rsidRPr="009374E9">
              <w:rPr>
                <w:i/>
                <w:sz w:val="20"/>
                <w:szCs w:val="20"/>
              </w:rPr>
              <w:t>Código</w:t>
            </w:r>
          </w:p>
        </w:tc>
        <w:tc>
          <w:tcPr>
            <w:tcW w:w="850" w:type="dxa"/>
            <w:vAlign w:val="center"/>
          </w:tcPr>
          <w:p w:rsidR="007D5787" w:rsidRPr="009374E9" w:rsidRDefault="007D5787" w:rsidP="000D2ABF">
            <w:pPr>
              <w:jc w:val="both"/>
              <w:cnfStyle w:val="100000000000" w:firstRow="1" w:lastRow="0" w:firstColumn="0" w:lastColumn="0" w:oddVBand="0" w:evenVBand="0" w:oddHBand="0" w:evenHBand="0" w:firstRowFirstColumn="0" w:firstRowLastColumn="0" w:lastRowFirstColumn="0" w:lastRowLastColumn="0"/>
              <w:rPr>
                <w:b w:val="0"/>
                <w:i/>
                <w:sz w:val="20"/>
                <w:szCs w:val="20"/>
              </w:rPr>
            </w:pPr>
            <w:r w:rsidRPr="009374E9">
              <w:rPr>
                <w:i/>
                <w:sz w:val="20"/>
                <w:szCs w:val="20"/>
              </w:rPr>
              <w:t>Clase Puesto</w:t>
            </w:r>
          </w:p>
        </w:tc>
        <w:tc>
          <w:tcPr>
            <w:tcW w:w="1276" w:type="dxa"/>
            <w:vAlign w:val="center"/>
          </w:tcPr>
          <w:p w:rsidR="007D5787" w:rsidRPr="009374E9" w:rsidRDefault="007D5787" w:rsidP="000D2ABF">
            <w:pPr>
              <w:jc w:val="both"/>
              <w:cnfStyle w:val="100000000000" w:firstRow="1" w:lastRow="0" w:firstColumn="0" w:lastColumn="0" w:oddVBand="0" w:evenVBand="0" w:oddHBand="0" w:evenHBand="0" w:firstRowFirstColumn="0" w:firstRowLastColumn="0" w:lastRowFirstColumn="0" w:lastRowLastColumn="0"/>
              <w:rPr>
                <w:b w:val="0"/>
                <w:i/>
                <w:sz w:val="20"/>
                <w:szCs w:val="20"/>
              </w:rPr>
            </w:pPr>
            <w:r w:rsidRPr="009374E9">
              <w:rPr>
                <w:i/>
                <w:sz w:val="20"/>
                <w:szCs w:val="20"/>
              </w:rPr>
              <w:t>Especialidad</w:t>
            </w:r>
          </w:p>
        </w:tc>
        <w:tc>
          <w:tcPr>
            <w:tcW w:w="1134" w:type="dxa"/>
            <w:vAlign w:val="center"/>
          </w:tcPr>
          <w:p w:rsidR="007D5787" w:rsidRPr="009374E9" w:rsidRDefault="007D5787" w:rsidP="000D2ABF">
            <w:pPr>
              <w:jc w:val="both"/>
              <w:cnfStyle w:val="100000000000" w:firstRow="1" w:lastRow="0" w:firstColumn="0" w:lastColumn="0" w:oddVBand="0" w:evenVBand="0" w:oddHBand="0" w:evenHBand="0" w:firstRowFirstColumn="0" w:firstRowLastColumn="0" w:lastRowFirstColumn="0" w:lastRowLastColumn="0"/>
              <w:rPr>
                <w:b w:val="0"/>
                <w:i/>
                <w:sz w:val="20"/>
                <w:szCs w:val="20"/>
              </w:rPr>
            </w:pPr>
            <w:r w:rsidRPr="009374E9">
              <w:rPr>
                <w:i/>
                <w:sz w:val="20"/>
                <w:szCs w:val="20"/>
              </w:rPr>
              <w:t xml:space="preserve">Lecciones </w:t>
            </w:r>
          </w:p>
        </w:tc>
      </w:tr>
      <w:tr w:rsidR="007D5787" w:rsidRPr="000D2ABF" w:rsidTr="007D5787">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2009" w:type="dxa"/>
            <w:vAlign w:val="center"/>
          </w:tcPr>
          <w:p w:rsidR="007D5787" w:rsidRPr="000D2ABF" w:rsidRDefault="007D5787" w:rsidP="000D2ABF">
            <w:pPr>
              <w:jc w:val="both"/>
              <w:rPr>
                <w:b w:val="0"/>
                <w:i/>
              </w:rPr>
            </w:pPr>
            <w:r w:rsidRPr="000D2ABF">
              <w:rPr>
                <w:b w:val="0"/>
                <w:i/>
              </w:rPr>
              <w:t>1-1106-0391</w:t>
            </w:r>
          </w:p>
        </w:tc>
        <w:tc>
          <w:tcPr>
            <w:tcW w:w="850" w:type="dxa"/>
          </w:tcPr>
          <w:p w:rsidR="007D5787" w:rsidRPr="000D2ABF" w:rsidRDefault="007D5787" w:rsidP="000D2ABF">
            <w:pPr>
              <w:jc w:val="both"/>
              <w:cnfStyle w:val="000000100000" w:firstRow="0" w:lastRow="0" w:firstColumn="0" w:lastColumn="0" w:oddVBand="0" w:evenVBand="0" w:oddHBand="1" w:evenHBand="0" w:firstRowFirstColumn="0" w:firstRowLastColumn="0" w:lastRowFirstColumn="0" w:lastRowLastColumn="0"/>
              <w:rPr>
                <w:i/>
              </w:rPr>
            </w:pPr>
          </w:p>
        </w:tc>
        <w:tc>
          <w:tcPr>
            <w:tcW w:w="850" w:type="dxa"/>
            <w:vAlign w:val="center"/>
          </w:tcPr>
          <w:p w:rsidR="007D5787" w:rsidRPr="000D2ABF" w:rsidRDefault="007D5787" w:rsidP="000D2ABF">
            <w:pPr>
              <w:jc w:val="both"/>
              <w:cnfStyle w:val="000000100000" w:firstRow="0" w:lastRow="0" w:firstColumn="0" w:lastColumn="0" w:oddVBand="0" w:evenVBand="0" w:oddHBand="1" w:evenHBand="0" w:firstRowFirstColumn="0" w:firstRowLastColumn="0" w:lastRowFirstColumn="0" w:lastRowLastColumn="0"/>
              <w:rPr>
                <w:i/>
              </w:rPr>
            </w:pPr>
            <w:r w:rsidRPr="000D2ABF">
              <w:rPr>
                <w:i/>
              </w:rPr>
              <w:t>PT6</w:t>
            </w:r>
          </w:p>
        </w:tc>
        <w:tc>
          <w:tcPr>
            <w:tcW w:w="851" w:type="dxa"/>
            <w:vAlign w:val="center"/>
          </w:tcPr>
          <w:p w:rsidR="007D5787" w:rsidRPr="000D2ABF" w:rsidRDefault="007D5787" w:rsidP="000D2ABF">
            <w:pPr>
              <w:jc w:val="both"/>
              <w:cnfStyle w:val="000000100000" w:firstRow="0" w:lastRow="0" w:firstColumn="0" w:lastColumn="0" w:oddVBand="0" w:evenVBand="0" w:oddHBand="1" w:evenHBand="0" w:firstRowFirstColumn="0" w:firstRowLastColumn="0" w:lastRowFirstColumn="0" w:lastRowLastColumn="0"/>
              <w:rPr>
                <w:i/>
              </w:rPr>
            </w:pPr>
            <w:r w:rsidRPr="000D2ABF">
              <w:rPr>
                <w:i/>
              </w:rPr>
              <w:t>5067</w:t>
            </w:r>
          </w:p>
        </w:tc>
        <w:tc>
          <w:tcPr>
            <w:tcW w:w="850" w:type="dxa"/>
            <w:vAlign w:val="center"/>
          </w:tcPr>
          <w:p w:rsidR="007D5787" w:rsidRPr="000D2ABF" w:rsidRDefault="007D5787" w:rsidP="000D2ABF">
            <w:pPr>
              <w:jc w:val="both"/>
              <w:cnfStyle w:val="000000100000" w:firstRow="0" w:lastRow="0" w:firstColumn="0" w:lastColumn="0" w:oddVBand="0" w:evenVBand="0" w:oddHBand="1" w:evenHBand="0" w:firstRowFirstColumn="0" w:firstRowLastColumn="0" w:lastRowFirstColumn="0" w:lastRowLastColumn="0"/>
              <w:rPr>
                <w:i/>
              </w:rPr>
            </w:pPr>
            <w:r w:rsidRPr="000D2ABF">
              <w:rPr>
                <w:i/>
              </w:rPr>
              <w:t>PEGB1</w:t>
            </w:r>
          </w:p>
        </w:tc>
        <w:tc>
          <w:tcPr>
            <w:tcW w:w="1276" w:type="dxa"/>
            <w:vAlign w:val="center"/>
          </w:tcPr>
          <w:p w:rsidR="007D5787" w:rsidRPr="000D2ABF" w:rsidRDefault="007D5787" w:rsidP="000D2ABF">
            <w:pPr>
              <w:jc w:val="both"/>
              <w:cnfStyle w:val="000000100000" w:firstRow="0" w:lastRow="0" w:firstColumn="0" w:lastColumn="0" w:oddVBand="0" w:evenVBand="0" w:oddHBand="1" w:evenHBand="0" w:firstRowFirstColumn="0" w:firstRowLastColumn="0" w:lastRowFirstColumn="0" w:lastRowLastColumn="0"/>
              <w:rPr>
                <w:i/>
              </w:rPr>
            </w:pPr>
            <w:r w:rsidRPr="000D2ABF">
              <w:rPr>
                <w:i/>
              </w:rPr>
              <w:t xml:space="preserve">Sin </w:t>
            </w:r>
            <w:proofErr w:type="spellStart"/>
            <w:r w:rsidRPr="000D2ABF">
              <w:rPr>
                <w:i/>
              </w:rPr>
              <w:t>Espec</w:t>
            </w:r>
            <w:proofErr w:type="spellEnd"/>
            <w:r w:rsidRPr="000D2ABF">
              <w:rPr>
                <w:i/>
              </w:rPr>
              <w:t>.</w:t>
            </w:r>
          </w:p>
        </w:tc>
        <w:tc>
          <w:tcPr>
            <w:tcW w:w="1134" w:type="dxa"/>
            <w:vAlign w:val="center"/>
          </w:tcPr>
          <w:p w:rsidR="007D5787" w:rsidRPr="000D2ABF" w:rsidRDefault="007D5787" w:rsidP="000D2ABF">
            <w:pPr>
              <w:jc w:val="both"/>
              <w:cnfStyle w:val="000000100000" w:firstRow="0" w:lastRow="0" w:firstColumn="0" w:lastColumn="0" w:oddVBand="0" w:evenVBand="0" w:oddHBand="1" w:evenHBand="0" w:firstRowFirstColumn="0" w:firstRowLastColumn="0" w:lastRowFirstColumn="0" w:lastRowLastColumn="0"/>
              <w:rPr>
                <w:i/>
              </w:rPr>
            </w:pPr>
            <w:r w:rsidRPr="000D2ABF">
              <w:rPr>
                <w:i/>
              </w:rPr>
              <w:t>-</w:t>
            </w:r>
          </w:p>
        </w:tc>
      </w:tr>
      <w:tr w:rsidR="007D5787" w:rsidRPr="000D2ABF" w:rsidTr="007D5787">
        <w:trPr>
          <w:trHeight w:val="226"/>
          <w:jc w:val="center"/>
        </w:trPr>
        <w:tc>
          <w:tcPr>
            <w:cnfStyle w:val="001000000000" w:firstRow="0" w:lastRow="0" w:firstColumn="1" w:lastColumn="0" w:oddVBand="0" w:evenVBand="0" w:oddHBand="0" w:evenHBand="0" w:firstRowFirstColumn="0" w:firstRowLastColumn="0" w:lastRowFirstColumn="0" w:lastRowLastColumn="0"/>
            <w:tcW w:w="2009" w:type="dxa"/>
            <w:vAlign w:val="center"/>
          </w:tcPr>
          <w:p w:rsidR="007D5787" w:rsidRPr="000D2ABF" w:rsidRDefault="007D5787" w:rsidP="000D2ABF">
            <w:pPr>
              <w:jc w:val="both"/>
              <w:rPr>
                <w:b w:val="0"/>
                <w:i/>
              </w:rPr>
            </w:pPr>
            <w:r w:rsidRPr="000D2ABF">
              <w:rPr>
                <w:b w:val="0"/>
                <w:i/>
              </w:rPr>
              <w:t>1-0514-0883</w:t>
            </w:r>
          </w:p>
        </w:tc>
        <w:tc>
          <w:tcPr>
            <w:tcW w:w="850" w:type="dxa"/>
          </w:tcPr>
          <w:p w:rsidR="007D5787" w:rsidRPr="000D2ABF" w:rsidRDefault="007D5787" w:rsidP="000D2ABF">
            <w:pPr>
              <w:jc w:val="both"/>
              <w:cnfStyle w:val="000000000000" w:firstRow="0" w:lastRow="0" w:firstColumn="0" w:lastColumn="0" w:oddVBand="0" w:evenVBand="0" w:oddHBand="0" w:evenHBand="0" w:firstRowFirstColumn="0" w:firstRowLastColumn="0" w:lastRowFirstColumn="0" w:lastRowLastColumn="0"/>
              <w:rPr>
                <w:i/>
              </w:rPr>
            </w:pPr>
          </w:p>
        </w:tc>
        <w:tc>
          <w:tcPr>
            <w:tcW w:w="850" w:type="dxa"/>
            <w:vAlign w:val="center"/>
          </w:tcPr>
          <w:p w:rsidR="007D5787" w:rsidRPr="000D2ABF" w:rsidRDefault="007D5787" w:rsidP="000D2ABF">
            <w:pPr>
              <w:jc w:val="both"/>
              <w:cnfStyle w:val="000000000000" w:firstRow="0" w:lastRow="0" w:firstColumn="0" w:lastColumn="0" w:oddVBand="0" w:evenVBand="0" w:oddHBand="0" w:evenHBand="0" w:firstRowFirstColumn="0" w:firstRowLastColumn="0" w:lastRowFirstColumn="0" w:lastRowLastColumn="0"/>
              <w:rPr>
                <w:i/>
              </w:rPr>
            </w:pPr>
            <w:r w:rsidRPr="000D2ABF">
              <w:rPr>
                <w:i/>
              </w:rPr>
              <w:t>PT4</w:t>
            </w:r>
          </w:p>
        </w:tc>
        <w:tc>
          <w:tcPr>
            <w:tcW w:w="851" w:type="dxa"/>
            <w:vAlign w:val="center"/>
          </w:tcPr>
          <w:p w:rsidR="007D5787" w:rsidRPr="000D2ABF" w:rsidRDefault="007D5787" w:rsidP="000D2ABF">
            <w:pPr>
              <w:jc w:val="both"/>
              <w:cnfStyle w:val="000000000000" w:firstRow="0" w:lastRow="0" w:firstColumn="0" w:lastColumn="0" w:oddVBand="0" w:evenVBand="0" w:oddHBand="0" w:evenHBand="0" w:firstRowFirstColumn="0" w:firstRowLastColumn="0" w:lastRowFirstColumn="0" w:lastRowLastColumn="0"/>
              <w:rPr>
                <w:i/>
              </w:rPr>
            </w:pPr>
            <w:r w:rsidRPr="000D2ABF">
              <w:rPr>
                <w:i/>
              </w:rPr>
              <w:t>5067</w:t>
            </w:r>
          </w:p>
        </w:tc>
        <w:tc>
          <w:tcPr>
            <w:tcW w:w="850" w:type="dxa"/>
            <w:vAlign w:val="center"/>
          </w:tcPr>
          <w:p w:rsidR="007D5787" w:rsidRPr="000D2ABF" w:rsidRDefault="007D5787" w:rsidP="000D2ABF">
            <w:pPr>
              <w:jc w:val="both"/>
              <w:cnfStyle w:val="000000000000" w:firstRow="0" w:lastRow="0" w:firstColumn="0" w:lastColumn="0" w:oddVBand="0" w:evenVBand="0" w:oddHBand="0" w:evenHBand="0" w:firstRowFirstColumn="0" w:firstRowLastColumn="0" w:lastRowFirstColumn="0" w:lastRowLastColumn="0"/>
              <w:rPr>
                <w:i/>
              </w:rPr>
            </w:pPr>
            <w:r w:rsidRPr="000D2ABF">
              <w:rPr>
                <w:i/>
              </w:rPr>
              <w:t>PEGB1</w:t>
            </w:r>
          </w:p>
        </w:tc>
        <w:tc>
          <w:tcPr>
            <w:tcW w:w="1276" w:type="dxa"/>
            <w:vAlign w:val="center"/>
          </w:tcPr>
          <w:p w:rsidR="007D5787" w:rsidRPr="000D2ABF" w:rsidRDefault="007D5787" w:rsidP="000D2ABF">
            <w:pPr>
              <w:jc w:val="both"/>
              <w:cnfStyle w:val="000000000000" w:firstRow="0" w:lastRow="0" w:firstColumn="0" w:lastColumn="0" w:oddVBand="0" w:evenVBand="0" w:oddHBand="0" w:evenHBand="0" w:firstRowFirstColumn="0" w:firstRowLastColumn="0" w:lastRowFirstColumn="0" w:lastRowLastColumn="0"/>
              <w:rPr>
                <w:i/>
              </w:rPr>
            </w:pPr>
            <w:r w:rsidRPr="000D2ABF">
              <w:rPr>
                <w:i/>
              </w:rPr>
              <w:t xml:space="preserve">Sin </w:t>
            </w:r>
            <w:proofErr w:type="spellStart"/>
            <w:r w:rsidRPr="000D2ABF">
              <w:rPr>
                <w:i/>
              </w:rPr>
              <w:t>Espec</w:t>
            </w:r>
            <w:proofErr w:type="spellEnd"/>
            <w:r w:rsidRPr="000D2ABF">
              <w:rPr>
                <w:i/>
              </w:rPr>
              <w:t>.</w:t>
            </w:r>
          </w:p>
        </w:tc>
        <w:tc>
          <w:tcPr>
            <w:tcW w:w="1134" w:type="dxa"/>
            <w:vAlign w:val="center"/>
          </w:tcPr>
          <w:p w:rsidR="007D5787" w:rsidRPr="000D2ABF" w:rsidRDefault="007D5787" w:rsidP="000D2ABF">
            <w:pPr>
              <w:jc w:val="both"/>
              <w:cnfStyle w:val="000000000000" w:firstRow="0" w:lastRow="0" w:firstColumn="0" w:lastColumn="0" w:oddVBand="0" w:evenVBand="0" w:oddHBand="0" w:evenHBand="0" w:firstRowFirstColumn="0" w:firstRowLastColumn="0" w:lastRowFirstColumn="0" w:lastRowLastColumn="0"/>
              <w:rPr>
                <w:i/>
              </w:rPr>
            </w:pPr>
            <w:r w:rsidRPr="000D2ABF">
              <w:rPr>
                <w:i/>
              </w:rPr>
              <w:t>-</w:t>
            </w:r>
          </w:p>
        </w:tc>
      </w:tr>
      <w:tr w:rsidR="007D5787" w:rsidRPr="000D2ABF" w:rsidTr="007D5787">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2009" w:type="dxa"/>
            <w:vAlign w:val="center"/>
          </w:tcPr>
          <w:p w:rsidR="007D5787" w:rsidRPr="000D2ABF" w:rsidRDefault="007D5787" w:rsidP="000D2ABF">
            <w:pPr>
              <w:jc w:val="both"/>
              <w:rPr>
                <w:b w:val="0"/>
                <w:i/>
              </w:rPr>
            </w:pPr>
            <w:r w:rsidRPr="000D2ABF">
              <w:rPr>
                <w:b w:val="0"/>
                <w:i/>
              </w:rPr>
              <w:t>1-1022-0812</w:t>
            </w:r>
          </w:p>
        </w:tc>
        <w:tc>
          <w:tcPr>
            <w:tcW w:w="850" w:type="dxa"/>
          </w:tcPr>
          <w:p w:rsidR="007D5787" w:rsidRPr="000D2ABF" w:rsidRDefault="007D5787" w:rsidP="000D2ABF">
            <w:pPr>
              <w:jc w:val="both"/>
              <w:cnfStyle w:val="000000100000" w:firstRow="0" w:lastRow="0" w:firstColumn="0" w:lastColumn="0" w:oddVBand="0" w:evenVBand="0" w:oddHBand="1" w:evenHBand="0" w:firstRowFirstColumn="0" w:firstRowLastColumn="0" w:lastRowFirstColumn="0" w:lastRowLastColumn="0"/>
              <w:rPr>
                <w:i/>
              </w:rPr>
            </w:pPr>
          </w:p>
        </w:tc>
        <w:tc>
          <w:tcPr>
            <w:tcW w:w="850" w:type="dxa"/>
            <w:vAlign w:val="center"/>
          </w:tcPr>
          <w:p w:rsidR="007D5787" w:rsidRPr="000D2ABF" w:rsidRDefault="007D5787" w:rsidP="000D2ABF">
            <w:pPr>
              <w:jc w:val="both"/>
              <w:cnfStyle w:val="000000100000" w:firstRow="0" w:lastRow="0" w:firstColumn="0" w:lastColumn="0" w:oddVBand="0" w:evenVBand="0" w:oddHBand="1" w:evenHBand="0" w:firstRowFirstColumn="0" w:firstRowLastColumn="0" w:lastRowFirstColumn="0" w:lastRowLastColumn="0"/>
              <w:rPr>
                <w:i/>
              </w:rPr>
            </w:pPr>
            <w:r w:rsidRPr="000D2ABF">
              <w:rPr>
                <w:i/>
              </w:rPr>
              <w:t>PT5</w:t>
            </w:r>
          </w:p>
        </w:tc>
        <w:tc>
          <w:tcPr>
            <w:tcW w:w="851" w:type="dxa"/>
            <w:vAlign w:val="center"/>
          </w:tcPr>
          <w:p w:rsidR="007D5787" w:rsidRPr="000D2ABF" w:rsidRDefault="007D5787" w:rsidP="000D2ABF">
            <w:pPr>
              <w:jc w:val="both"/>
              <w:cnfStyle w:val="000000100000" w:firstRow="0" w:lastRow="0" w:firstColumn="0" w:lastColumn="0" w:oddVBand="0" w:evenVBand="0" w:oddHBand="1" w:evenHBand="0" w:firstRowFirstColumn="0" w:firstRowLastColumn="0" w:lastRowFirstColumn="0" w:lastRowLastColumn="0"/>
              <w:rPr>
                <w:i/>
              </w:rPr>
            </w:pPr>
            <w:r w:rsidRPr="000D2ABF">
              <w:rPr>
                <w:i/>
              </w:rPr>
              <w:t>5067</w:t>
            </w:r>
          </w:p>
        </w:tc>
        <w:tc>
          <w:tcPr>
            <w:tcW w:w="850" w:type="dxa"/>
            <w:vAlign w:val="center"/>
          </w:tcPr>
          <w:p w:rsidR="007D5787" w:rsidRPr="000D2ABF" w:rsidRDefault="007D5787" w:rsidP="000D2ABF">
            <w:pPr>
              <w:jc w:val="both"/>
              <w:cnfStyle w:val="000000100000" w:firstRow="0" w:lastRow="0" w:firstColumn="0" w:lastColumn="0" w:oddVBand="0" w:evenVBand="0" w:oddHBand="1" w:evenHBand="0" w:firstRowFirstColumn="0" w:firstRowLastColumn="0" w:lastRowFirstColumn="0" w:lastRowLastColumn="0"/>
              <w:rPr>
                <w:i/>
              </w:rPr>
            </w:pPr>
            <w:r w:rsidRPr="000D2ABF">
              <w:rPr>
                <w:i/>
              </w:rPr>
              <w:t>PIE</w:t>
            </w:r>
          </w:p>
        </w:tc>
        <w:tc>
          <w:tcPr>
            <w:tcW w:w="1276" w:type="dxa"/>
            <w:vAlign w:val="center"/>
          </w:tcPr>
          <w:p w:rsidR="007D5787" w:rsidRPr="000D2ABF" w:rsidRDefault="007D5787" w:rsidP="000D2ABF">
            <w:pPr>
              <w:jc w:val="both"/>
              <w:cnfStyle w:val="000000100000" w:firstRow="0" w:lastRow="0" w:firstColumn="0" w:lastColumn="0" w:oddVBand="0" w:evenVBand="0" w:oddHBand="1" w:evenHBand="0" w:firstRowFirstColumn="0" w:firstRowLastColumn="0" w:lastRowFirstColumn="0" w:lastRowLastColumn="0"/>
              <w:rPr>
                <w:i/>
              </w:rPr>
            </w:pPr>
            <w:r w:rsidRPr="000D2ABF">
              <w:rPr>
                <w:i/>
              </w:rPr>
              <w:t>Inglés</w:t>
            </w:r>
          </w:p>
        </w:tc>
        <w:tc>
          <w:tcPr>
            <w:tcW w:w="1134" w:type="dxa"/>
            <w:vAlign w:val="center"/>
          </w:tcPr>
          <w:p w:rsidR="007D5787" w:rsidRPr="000D2ABF" w:rsidRDefault="007D5787" w:rsidP="000D2ABF">
            <w:pPr>
              <w:jc w:val="both"/>
              <w:cnfStyle w:val="000000100000" w:firstRow="0" w:lastRow="0" w:firstColumn="0" w:lastColumn="0" w:oddVBand="0" w:evenVBand="0" w:oddHBand="1" w:evenHBand="0" w:firstRowFirstColumn="0" w:firstRowLastColumn="0" w:lastRowFirstColumn="0" w:lastRowLastColumn="0"/>
              <w:rPr>
                <w:i/>
              </w:rPr>
            </w:pPr>
            <w:r w:rsidRPr="000D2ABF">
              <w:rPr>
                <w:i/>
              </w:rPr>
              <w:t>-</w:t>
            </w:r>
          </w:p>
        </w:tc>
      </w:tr>
      <w:tr w:rsidR="007D5787" w:rsidRPr="000D2ABF" w:rsidTr="007D5787">
        <w:trPr>
          <w:trHeight w:val="226"/>
          <w:jc w:val="center"/>
        </w:trPr>
        <w:tc>
          <w:tcPr>
            <w:cnfStyle w:val="001000000000" w:firstRow="0" w:lastRow="0" w:firstColumn="1" w:lastColumn="0" w:oddVBand="0" w:evenVBand="0" w:oddHBand="0" w:evenHBand="0" w:firstRowFirstColumn="0" w:firstRowLastColumn="0" w:lastRowFirstColumn="0" w:lastRowLastColumn="0"/>
            <w:tcW w:w="2009" w:type="dxa"/>
            <w:vAlign w:val="center"/>
          </w:tcPr>
          <w:p w:rsidR="007D5787" w:rsidRPr="000D2ABF" w:rsidRDefault="007D5787" w:rsidP="000D2ABF">
            <w:pPr>
              <w:jc w:val="both"/>
              <w:rPr>
                <w:b w:val="0"/>
                <w:i/>
              </w:rPr>
            </w:pPr>
            <w:r w:rsidRPr="000D2ABF">
              <w:rPr>
                <w:b w:val="0"/>
                <w:i/>
              </w:rPr>
              <w:t>1-08810-514</w:t>
            </w:r>
          </w:p>
        </w:tc>
        <w:tc>
          <w:tcPr>
            <w:tcW w:w="850" w:type="dxa"/>
          </w:tcPr>
          <w:p w:rsidR="007D5787" w:rsidRPr="000D2ABF" w:rsidRDefault="007D5787" w:rsidP="000D2ABF">
            <w:pPr>
              <w:jc w:val="both"/>
              <w:cnfStyle w:val="000000000000" w:firstRow="0" w:lastRow="0" w:firstColumn="0" w:lastColumn="0" w:oddVBand="0" w:evenVBand="0" w:oddHBand="0" w:evenHBand="0" w:firstRowFirstColumn="0" w:firstRowLastColumn="0" w:lastRowFirstColumn="0" w:lastRowLastColumn="0"/>
              <w:rPr>
                <w:i/>
              </w:rPr>
            </w:pPr>
          </w:p>
        </w:tc>
        <w:tc>
          <w:tcPr>
            <w:tcW w:w="850" w:type="dxa"/>
            <w:vAlign w:val="center"/>
          </w:tcPr>
          <w:p w:rsidR="007D5787" w:rsidRPr="000D2ABF" w:rsidRDefault="007D5787" w:rsidP="000D2ABF">
            <w:pPr>
              <w:jc w:val="both"/>
              <w:cnfStyle w:val="000000000000" w:firstRow="0" w:lastRow="0" w:firstColumn="0" w:lastColumn="0" w:oddVBand="0" w:evenVBand="0" w:oddHBand="0" w:evenHBand="0" w:firstRowFirstColumn="0" w:firstRowLastColumn="0" w:lastRowFirstColumn="0" w:lastRowLastColumn="0"/>
              <w:rPr>
                <w:i/>
              </w:rPr>
            </w:pPr>
            <w:r w:rsidRPr="000D2ABF">
              <w:rPr>
                <w:i/>
              </w:rPr>
              <w:t>ET4</w:t>
            </w:r>
          </w:p>
        </w:tc>
        <w:tc>
          <w:tcPr>
            <w:tcW w:w="851" w:type="dxa"/>
            <w:vAlign w:val="center"/>
          </w:tcPr>
          <w:p w:rsidR="007D5787" w:rsidRPr="000D2ABF" w:rsidRDefault="007D5787" w:rsidP="000D2ABF">
            <w:pPr>
              <w:jc w:val="both"/>
              <w:cnfStyle w:val="000000000000" w:firstRow="0" w:lastRow="0" w:firstColumn="0" w:lastColumn="0" w:oddVBand="0" w:evenVBand="0" w:oddHBand="0" w:evenHBand="0" w:firstRowFirstColumn="0" w:firstRowLastColumn="0" w:lastRowFirstColumn="0" w:lastRowLastColumn="0"/>
              <w:rPr>
                <w:i/>
              </w:rPr>
            </w:pPr>
            <w:r w:rsidRPr="000D2ABF">
              <w:rPr>
                <w:i/>
              </w:rPr>
              <w:t>6478</w:t>
            </w:r>
          </w:p>
        </w:tc>
        <w:tc>
          <w:tcPr>
            <w:tcW w:w="850" w:type="dxa"/>
            <w:vAlign w:val="center"/>
          </w:tcPr>
          <w:p w:rsidR="007D5787" w:rsidRPr="000D2ABF" w:rsidRDefault="007D5787" w:rsidP="000D2ABF">
            <w:pPr>
              <w:jc w:val="both"/>
              <w:cnfStyle w:val="000000000000" w:firstRow="0" w:lastRow="0" w:firstColumn="0" w:lastColumn="0" w:oddVBand="0" w:evenVBand="0" w:oddHBand="0" w:evenHBand="0" w:firstRowFirstColumn="0" w:firstRowLastColumn="0" w:lastRowFirstColumn="0" w:lastRowLastColumn="0"/>
              <w:rPr>
                <w:i/>
              </w:rPr>
            </w:pPr>
            <w:r w:rsidRPr="000D2ABF">
              <w:rPr>
                <w:i/>
              </w:rPr>
              <w:t>PEE</w:t>
            </w:r>
          </w:p>
        </w:tc>
        <w:tc>
          <w:tcPr>
            <w:tcW w:w="1276" w:type="dxa"/>
            <w:vAlign w:val="center"/>
          </w:tcPr>
          <w:p w:rsidR="007D5787" w:rsidRPr="000D2ABF" w:rsidRDefault="007D5787" w:rsidP="000D2ABF">
            <w:pPr>
              <w:jc w:val="both"/>
              <w:cnfStyle w:val="000000000000" w:firstRow="0" w:lastRow="0" w:firstColumn="0" w:lastColumn="0" w:oddVBand="0" w:evenVBand="0" w:oddHBand="0" w:evenHBand="0" w:firstRowFirstColumn="0" w:firstRowLastColumn="0" w:lastRowFirstColumn="0" w:lastRowLastColumn="0"/>
              <w:rPr>
                <w:i/>
              </w:rPr>
            </w:pPr>
            <w:proofErr w:type="spellStart"/>
            <w:r w:rsidRPr="000D2ABF">
              <w:rPr>
                <w:i/>
              </w:rPr>
              <w:t>Probl</w:t>
            </w:r>
            <w:proofErr w:type="spellEnd"/>
            <w:r w:rsidRPr="000D2ABF">
              <w:rPr>
                <w:i/>
              </w:rPr>
              <w:t xml:space="preserve">. </w:t>
            </w:r>
            <w:proofErr w:type="spellStart"/>
            <w:r w:rsidRPr="000D2ABF">
              <w:rPr>
                <w:i/>
              </w:rPr>
              <w:t>Aprend</w:t>
            </w:r>
            <w:proofErr w:type="spellEnd"/>
            <w:r w:rsidRPr="000D2ABF">
              <w:rPr>
                <w:i/>
              </w:rPr>
              <w:t>.</w:t>
            </w:r>
          </w:p>
        </w:tc>
        <w:tc>
          <w:tcPr>
            <w:tcW w:w="1134" w:type="dxa"/>
            <w:vAlign w:val="center"/>
          </w:tcPr>
          <w:p w:rsidR="007D5787" w:rsidRPr="000D2ABF" w:rsidRDefault="007D5787" w:rsidP="000D2ABF">
            <w:pPr>
              <w:jc w:val="both"/>
              <w:cnfStyle w:val="000000000000" w:firstRow="0" w:lastRow="0" w:firstColumn="0" w:lastColumn="0" w:oddVBand="0" w:evenVBand="0" w:oddHBand="0" w:evenHBand="0" w:firstRowFirstColumn="0" w:firstRowLastColumn="0" w:lastRowFirstColumn="0" w:lastRowLastColumn="0"/>
              <w:rPr>
                <w:i/>
              </w:rPr>
            </w:pPr>
            <w:r w:rsidRPr="000D2ABF">
              <w:rPr>
                <w:i/>
              </w:rPr>
              <w:t>32</w:t>
            </w:r>
          </w:p>
        </w:tc>
      </w:tr>
    </w:tbl>
    <w:p w:rsidR="007D5787" w:rsidRDefault="000D2ABF" w:rsidP="000D2ABF">
      <w:pPr>
        <w:ind w:left="-284"/>
        <w:jc w:val="both"/>
        <w:rPr>
          <w:i/>
          <w:sz w:val="20"/>
          <w:szCs w:val="20"/>
        </w:rPr>
      </w:pPr>
      <w:r w:rsidRPr="000D2ABF">
        <w:rPr>
          <w:b/>
          <w:i/>
        </w:rPr>
        <w:t xml:space="preserve">     </w:t>
      </w:r>
      <w:r w:rsidR="009B63EE">
        <w:rPr>
          <w:b/>
          <w:i/>
        </w:rPr>
        <w:t xml:space="preserve">        </w:t>
      </w:r>
      <w:r w:rsidRPr="00E77AFE">
        <w:rPr>
          <w:b/>
          <w:i/>
          <w:sz w:val="20"/>
          <w:szCs w:val="20"/>
        </w:rPr>
        <w:t>Fuente:</w:t>
      </w:r>
      <w:r w:rsidRPr="00E77AFE">
        <w:rPr>
          <w:i/>
          <w:sz w:val="20"/>
          <w:szCs w:val="20"/>
        </w:rPr>
        <w:t xml:space="preserve"> Unidad de Programas Especiales</w:t>
      </w:r>
      <w:r w:rsidR="007D5787">
        <w:rPr>
          <w:i/>
          <w:sz w:val="20"/>
          <w:szCs w:val="20"/>
        </w:rPr>
        <w:t xml:space="preserve"> </w:t>
      </w:r>
    </w:p>
    <w:p w:rsidR="000D2ABF" w:rsidRPr="00E77AFE" w:rsidRDefault="007D5787" w:rsidP="000D2ABF">
      <w:pPr>
        <w:ind w:left="-284"/>
        <w:jc w:val="both"/>
        <w:rPr>
          <w:i/>
          <w:sz w:val="20"/>
          <w:szCs w:val="20"/>
        </w:rPr>
      </w:pPr>
      <w:r>
        <w:rPr>
          <w:b/>
          <w:i/>
          <w:sz w:val="20"/>
          <w:szCs w:val="20"/>
        </w:rPr>
        <w:t xml:space="preserve">      </w:t>
      </w:r>
      <w:r w:rsidR="009B63EE">
        <w:rPr>
          <w:b/>
          <w:i/>
          <w:sz w:val="20"/>
          <w:szCs w:val="20"/>
        </w:rPr>
        <w:t xml:space="preserve">                      </w:t>
      </w:r>
      <w:r>
        <w:rPr>
          <w:b/>
          <w:i/>
          <w:sz w:val="20"/>
          <w:szCs w:val="20"/>
        </w:rPr>
        <w:t>*</w:t>
      </w:r>
      <w:r w:rsidRPr="007D5787">
        <w:rPr>
          <w:i/>
          <w:sz w:val="20"/>
          <w:szCs w:val="20"/>
        </w:rPr>
        <w:t xml:space="preserve">La Auditoría Interna </w:t>
      </w:r>
      <w:r>
        <w:rPr>
          <w:i/>
          <w:sz w:val="20"/>
          <w:szCs w:val="20"/>
        </w:rPr>
        <w:t xml:space="preserve">omite los nombres </w:t>
      </w:r>
    </w:p>
    <w:p w:rsidR="007D5787" w:rsidRDefault="007D5787" w:rsidP="000D2ABF">
      <w:pPr>
        <w:jc w:val="both"/>
      </w:pPr>
    </w:p>
    <w:p w:rsidR="00E77AFE" w:rsidRDefault="000D2ABF" w:rsidP="000D2ABF">
      <w:pPr>
        <w:jc w:val="both"/>
      </w:pPr>
      <w:r w:rsidRPr="000D2ABF">
        <w:t>Actualmente en el Hospicio de Huérfanos de San José no se imparten lecciones, sino que los docentes realizan una función de apoyo y reforzamiento en el aprendizaje de los niños, los cuales reciben lecciones en las instituciones docentes cercanas, de acuerdo con esto no es necesario el nombramiento de un director, por tal motivo se descartó la asignación de la plaza. Según lo comentado, esta recomendación no procede.</w:t>
      </w:r>
    </w:p>
    <w:p w:rsidR="00E956EF" w:rsidRDefault="00E956EF" w:rsidP="00E77AFE">
      <w:pPr>
        <w:ind w:left="567"/>
        <w:jc w:val="both"/>
        <w:rPr>
          <w:b/>
          <w:i/>
          <w:sz w:val="22"/>
          <w:szCs w:val="22"/>
        </w:rPr>
      </w:pPr>
    </w:p>
    <w:p w:rsidR="00E77AFE" w:rsidRPr="00E77AFE" w:rsidRDefault="00E77AFE" w:rsidP="00E77AFE">
      <w:pPr>
        <w:ind w:left="567"/>
        <w:jc w:val="both"/>
        <w:rPr>
          <w:b/>
          <w:i/>
          <w:sz w:val="22"/>
          <w:szCs w:val="22"/>
        </w:rPr>
      </w:pPr>
      <w:bookmarkStart w:id="7" w:name="_GoBack"/>
      <w:bookmarkEnd w:id="7"/>
      <w:r w:rsidRPr="00E77AFE">
        <w:rPr>
          <w:b/>
          <w:i/>
          <w:sz w:val="22"/>
          <w:szCs w:val="22"/>
        </w:rPr>
        <w:t>Dirección de Asuntos Jurídicos</w:t>
      </w:r>
    </w:p>
    <w:p w:rsidR="00E77AFE" w:rsidRPr="00E77AFE" w:rsidRDefault="00E77AFE" w:rsidP="00E77AFE">
      <w:pPr>
        <w:ind w:left="567"/>
        <w:jc w:val="both"/>
        <w:rPr>
          <w:i/>
          <w:sz w:val="22"/>
          <w:szCs w:val="22"/>
        </w:rPr>
      </w:pPr>
    </w:p>
    <w:p w:rsidR="000D2ABF" w:rsidRDefault="00E77AFE" w:rsidP="00E77AFE">
      <w:pPr>
        <w:ind w:left="567"/>
        <w:jc w:val="both"/>
        <w:rPr>
          <w:i/>
          <w:sz w:val="22"/>
          <w:szCs w:val="22"/>
        </w:rPr>
      </w:pPr>
      <w:r w:rsidRPr="00E77AFE">
        <w:rPr>
          <w:b/>
          <w:i/>
          <w:sz w:val="22"/>
          <w:szCs w:val="22"/>
        </w:rPr>
        <w:t>4.9</w:t>
      </w:r>
      <w:r w:rsidRPr="00E77AFE">
        <w:rPr>
          <w:i/>
          <w:sz w:val="22"/>
          <w:szCs w:val="22"/>
        </w:rPr>
        <w:t xml:space="preserve"> </w:t>
      </w:r>
      <w:r w:rsidR="000D2ABF" w:rsidRPr="00E77AFE">
        <w:rPr>
          <w:i/>
          <w:sz w:val="22"/>
          <w:szCs w:val="22"/>
        </w:rPr>
        <w:t>Valorar el fundamento legal del Hospicio de Huérfanos acerca de las consecuencias penales de utilizar información no apegada a la realidad en sus espacios de comunicación masivos.</w:t>
      </w:r>
    </w:p>
    <w:p w:rsidR="00E956EF" w:rsidRPr="00E77AFE" w:rsidRDefault="00E956EF" w:rsidP="00E77AFE">
      <w:pPr>
        <w:ind w:left="567"/>
        <w:jc w:val="both"/>
        <w:rPr>
          <w:i/>
          <w:sz w:val="22"/>
          <w:szCs w:val="22"/>
        </w:rPr>
      </w:pPr>
    </w:p>
    <w:p w:rsidR="000D2ABF" w:rsidRPr="000D2ABF" w:rsidRDefault="000D2ABF" w:rsidP="000D2ABF">
      <w:pPr>
        <w:ind w:left="567"/>
        <w:jc w:val="both"/>
      </w:pPr>
    </w:p>
    <w:p w:rsidR="000D2ABF" w:rsidRPr="000D2ABF" w:rsidRDefault="000D2ABF" w:rsidP="000D2ABF">
      <w:pPr>
        <w:jc w:val="both"/>
      </w:pPr>
      <w:r w:rsidRPr="000D2ABF">
        <w:lastRenderedPageBreak/>
        <w:t>En documentación aportada al respecto por el anterior Director de Asuntos Jurídicos del Ministerio de Educación Pública, mediante oficio N° DAJ-846-2011, indica:</w:t>
      </w:r>
    </w:p>
    <w:p w:rsidR="000D2ABF" w:rsidRPr="000D2ABF" w:rsidRDefault="000D2ABF" w:rsidP="000D2ABF">
      <w:pPr>
        <w:ind w:left="567"/>
        <w:jc w:val="both"/>
        <w:rPr>
          <w:i/>
        </w:rPr>
      </w:pPr>
    </w:p>
    <w:p w:rsidR="000D2ABF" w:rsidRPr="00E77AFE" w:rsidRDefault="000D2ABF" w:rsidP="000D2ABF">
      <w:pPr>
        <w:ind w:left="567"/>
        <w:jc w:val="both"/>
        <w:rPr>
          <w:b/>
          <w:i/>
          <w:sz w:val="22"/>
          <w:szCs w:val="22"/>
        </w:rPr>
      </w:pPr>
      <w:r w:rsidRPr="00E77AFE">
        <w:rPr>
          <w:i/>
          <w:sz w:val="22"/>
          <w:szCs w:val="22"/>
        </w:rPr>
        <w:t>“</w:t>
      </w:r>
      <w:r w:rsidRPr="00E77AFE">
        <w:rPr>
          <w:b/>
          <w:i/>
          <w:sz w:val="22"/>
          <w:szCs w:val="22"/>
        </w:rPr>
        <w:t>Reconocimiento como centro educativo.</w:t>
      </w:r>
      <w:r w:rsidRPr="00E77AFE">
        <w:rPr>
          <w:i/>
          <w:sz w:val="22"/>
          <w:szCs w:val="22"/>
        </w:rPr>
        <w:t xml:space="preserve"> En oficio DECDOP-1868-07-10, suscrito por el </w:t>
      </w:r>
      <w:proofErr w:type="spellStart"/>
      <w:r w:rsidRPr="00E77AFE">
        <w:rPr>
          <w:i/>
          <w:sz w:val="22"/>
          <w:szCs w:val="22"/>
        </w:rPr>
        <w:t>MSc</w:t>
      </w:r>
      <w:proofErr w:type="spellEnd"/>
      <w:r w:rsidRPr="00E77AFE">
        <w:rPr>
          <w:i/>
          <w:sz w:val="22"/>
          <w:szCs w:val="22"/>
        </w:rPr>
        <w:t xml:space="preserve">. </w:t>
      </w:r>
      <w:proofErr w:type="spellStart"/>
      <w:r w:rsidRPr="00E77AFE">
        <w:rPr>
          <w:i/>
          <w:sz w:val="22"/>
          <w:szCs w:val="22"/>
        </w:rPr>
        <w:t>Minor</w:t>
      </w:r>
      <w:proofErr w:type="spellEnd"/>
      <w:r w:rsidRPr="00E77AFE">
        <w:rPr>
          <w:i/>
          <w:sz w:val="22"/>
          <w:szCs w:val="22"/>
        </w:rPr>
        <w:t xml:space="preserve"> Villalobos Rodríguez, Jefe del Departamento de Centros Privados Docentes Privados (DECDOP), se hace constar que HHSJ, no se encuentra acreditado o reconocido por el MEP, en los niveles de Prescolar, I y II Ciclo de Educación…”. </w:t>
      </w:r>
      <w:r w:rsidRPr="00E77AFE">
        <w:rPr>
          <w:b/>
          <w:i/>
          <w:sz w:val="22"/>
          <w:szCs w:val="22"/>
        </w:rPr>
        <w:t xml:space="preserve"> </w:t>
      </w:r>
    </w:p>
    <w:p w:rsidR="000D2ABF" w:rsidRPr="00E77AFE" w:rsidRDefault="000D2ABF" w:rsidP="000D2ABF">
      <w:pPr>
        <w:ind w:left="567"/>
        <w:jc w:val="both"/>
        <w:rPr>
          <w:b/>
          <w:i/>
          <w:sz w:val="22"/>
          <w:szCs w:val="22"/>
        </w:rPr>
      </w:pPr>
    </w:p>
    <w:p w:rsidR="000D2ABF" w:rsidRPr="00E77AFE" w:rsidRDefault="000D2ABF" w:rsidP="000D2ABF">
      <w:pPr>
        <w:ind w:left="567"/>
        <w:jc w:val="both"/>
        <w:rPr>
          <w:i/>
          <w:sz w:val="22"/>
          <w:szCs w:val="22"/>
        </w:rPr>
      </w:pPr>
      <w:r w:rsidRPr="00E77AFE">
        <w:rPr>
          <w:i/>
          <w:sz w:val="22"/>
          <w:szCs w:val="22"/>
        </w:rPr>
        <w:t>Así las cosas y de acuerdo a lo supra citado, se podría inferir que el Hospicio de Huérfanos de San José, pudo haber inducido a error a los padres de familia que han matriculado a sus hijos en esa institución, pues al no estar aprobado por el MEP, la oferta académica ofrecida no sería de reconocimiento oficial.</w:t>
      </w:r>
    </w:p>
    <w:p w:rsidR="000D2ABF" w:rsidRPr="00E77AFE" w:rsidRDefault="000D2ABF" w:rsidP="000D2ABF">
      <w:pPr>
        <w:ind w:left="567"/>
        <w:jc w:val="both"/>
        <w:rPr>
          <w:i/>
          <w:sz w:val="22"/>
          <w:szCs w:val="22"/>
        </w:rPr>
      </w:pPr>
      <w:r w:rsidRPr="00E77AFE">
        <w:rPr>
          <w:i/>
          <w:sz w:val="22"/>
          <w:szCs w:val="22"/>
        </w:rPr>
        <w:t>Por lo que se estaría incurriendo en un delito tipificado en el Ordenamiento Jurídico.</w:t>
      </w:r>
    </w:p>
    <w:p w:rsidR="000D2ABF" w:rsidRPr="000D2ABF" w:rsidRDefault="000D2ABF" w:rsidP="000D2ABF">
      <w:pPr>
        <w:jc w:val="both"/>
      </w:pPr>
    </w:p>
    <w:p w:rsidR="000D2ABF" w:rsidRPr="000D2ABF" w:rsidRDefault="000D2ABF" w:rsidP="000D2ABF">
      <w:pPr>
        <w:jc w:val="both"/>
      </w:pPr>
      <w:r w:rsidRPr="000D2ABF">
        <w:t xml:space="preserve">Asimismo, en el oficio N° D.A.I.-0312-11, emitido por la Auditoría Interna, el cual se remite al Supervisor del Circuito 02, de la Dirección Regional de San José Norte, se le traslada información: </w:t>
      </w:r>
    </w:p>
    <w:p w:rsidR="000D2ABF" w:rsidRPr="000D2ABF" w:rsidRDefault="000D2ABF" w:rsidP="000D2ABF">
      <w:pPr>
        <w:jc w:val="both"/>
      </w:pPr>
    </w:p>
    <w:p w:rsidR="000D2ABF" w:rsidRPr="00E77AFE" w:rsidRDefault="000D2ABF" w:rsidP="000D2ABF">
      <w:pPr>
        <w:ind w:left="567"/>
        <w:jc w:val="both"/>
        <w:rPr>
          <w:i/>
          <w:sz w:val="22"/>
          <w:szCs w:val="22"/>
        </w:rPr>
      </w:pPr>
      <w:r w:rsidRPr="00E77AFE">
        <w:rPr>
          <w:i/>
          <w:sz w:val="22"/>
          <w:szCs w:val="22"/>
        </w:rPr>
        <w:t>(….)</w:t>
      </w:r>
    </w:p>
    <w:p w:rsidR="000D2ABF" w:rsidRPr="00E77AFE" w:rsidRDefault="000D2ABF" w:rsidP="000D2ABF">
      <w:pPr>
        <w:ind w:left="567"/>
        <w:jc w:val="both"/>
        <w:rPr>
          <w:i/>
          <w:sz w:val="22"/>
          <w:szCs w:val="22"/>
        </w:rPr>
      </w:pPr>
      <w:r w:rsidRPr="00E77AFE">
        <w:rPr>
          <w:i/>
          <w:sz w:val="22"/>
          <w:szCs w:val="22"/>
        </w:rPr>
        <w:t xml:space="preserve">Como producto de ello, se emitió el criterio legal DAJ-846-2011 suscrito por el Lic. Mauricio Medrano </w:t>
      </w:r>
      <w:proofErr w:type="spellStart"/>
      <w:r w:rsidRPr="00E77AFE">
        <w:rPr>
          <w:i/>
          <w:sz w:val="22"/>
          <w:szCs w:val="22"/>
        </w:rPr>
        <w:t>Goebel</w:t>
      </w:r>
      <w:proofErr w:type="spellEnd"/>
      <w:r w:rsidRPr="00E77AFE">
        <w:rPr>
          <w:i/>
          <w:sz w:val="22"/>
          <w:szCs w:val="22"/>
        </w:rPr>
        <w:t xml:space="preserve">, el cual se le traslada a usted con la finalidad de que lo eleve al Hospicio de Huérfanos con la advertencia de las sanciones legales que acarrean si no es corregida la irregularidad objeto de análisis….  </w:t>
      </w:r>
    </w:p>
    <w:p w:rsidR="000D2ABF" w:rsidRPr="000D2ABF" w:rsidRDefault="000D2ABF" w:rsidP="000D2ABF">
      <w:pPr>
        <w:jc w:val="both"/>
      </w:pPr>
    </w:p>
    <w:p w:rsidR="000D2ABF" w:rsidRPr="000D2ABF" w:rsidRDefault="000D2ABF" w:rsidP="000D2ABF">
      <w:pPr>
        <w:jc w:val="both"/>
      </w:pPr>
      <w:r w:rsidRPr="000D2ABF">
        <w:t xml:space="preserve">Además, en el Oficio CO2-104-2017, emitido por el Supervisor del Circuito 02, de la Dirección Regional de San José Norte, dirigido al Hospicio de Huérfanos expresa lo siguiente: </w:t>
      </w:r>
    </w:p>
    <w:p w:rsidR="000D2ABF" w:rsidRPr="000D2ABF" w:rsidRDefault="000D2ABF" w:rsidP="000D2ABF">
      <w:pPr>
        <w:jc w:val="both"/>
      </w:pPr>
    </w:p>
    <w:p w:rsidR="000D2ABF" w:rsidRPr="00E77AFE" w:rsidRDefault="000D2ABF" w:rsidP="000D2ABF">
      <w:pPr>
        <w:ind w:left="567"/>
        <w:jc w:val="both"/>
        <w:rPr>
          <w:i/>
          <w:sz w:val="22"/>
          <w:szCs w:val="22"/>
        </w:rPr>
      </w:pPr>
      <w:r w:rsidRPr="00E77AFE">
        <w:rPr>
          <w:i/>
          <w:sz w:val="22"/>
          <w:szCs w:val="22"/>
        </w:rPr>
        <w:t xml:space="preserve">….Como producto de ello, se encontró el criterio legal DAJ-846-2011 suscrito por el Lic. Mauricio Medrano </w:t>
      </w:r>
      <w:proofErr w:type="spellStart"/>
      <w:r w:rsidRPr="00E77AFE">
        <w:rPr>
          <w:i/>
          <w:sz w:val="22"/>
          <w:szCs w:val="22"/>
        </w:rPr>
        <w:t>Goebel</w:t>
      </w:r>
      <w:proofErr w:type="spellEnd"/>
      <w:r w:rsidRPr="00E77AFE">
        <w:rPr>
          <w:i/>
          <w:sz w:val="22"/>
          <w:szCs w:val="22"/>
        </w:rPr>
        <w:t xml:space="preserve">, el cual se les trasladó a ustedes con la finalidad de acatar lo indicado por la Auditoría en el </w:t>
      </w:r>
      <w:proofErr w:type="spellStart"/>
      <w:r w:rsidRPr="00E77AFE">
        <w:rPr>
          <w:i/>
          <w:sz w:val="22"/>
          <w:szCs w:val="22"/>
        </w:rPr>
        <w:t>supracitado</w:t>
      </w:r>
      <w:proofErr w:type="spellEnd"/>
      <w:r w:rsidRPr="00E77AFE">
        <w:rPr>
          <w:i/>
          <w:sz w:val="22"/>
          <w:szCs w:val="22"/>
        </w:rPr>
        <w:t xml:space="preserve"> criterio Legal.</w:t>
      </w:r>
    </w:p>
    <w:p w:rsidR="000D2ABF" w:rsidRPr="000D2ABF" w:rsidRDefault="000D2ABF" w:rsidP="000D2ABF">
      <w:pPr>
        <w:jc w:val="both"/>
      </w:pPr>
    </w:p>
    <w:p w:rsidR="000D2ABF" w:rsidRPr="000D2ABF" w:rsidRDefault="000D2ABF" w:rsidP="000D2ABF">
      <w:pPr>
        <w:jc w:val="both"/>
      </w:pPr>
      <w:r w:rsidRPr="000D2ABF">
        <w:t>Como se mencionó anteriormente en el punto 4.1 y 4.9, en la actualidad en las instalaciones del Hospicio de Huérfanos no se imparten lecciones, los docentes únicamente atienden a los niños que habitan en dicha institución brindándoles apoyo y reforzamiento. Por lo indicado anteriormente, esta recomendación se encuentra cumplida.</w:t>
      </w:r>
    </w:p>
    <w:p w:rsidR="009374E9" w:rsidRPr="007D5787" w:rsidRDefault="00453D12" w:rsidP="007D5787">
      <w:pPr>
        <w:pStyle w:val="Ttulo1"/>
        <w:jc w:val="both"/>
        <w:rPr>
          <w:rFonts w:ascii="Times New Roman" w:hAnsi="Times New Roman" w:cs="Times New Roman"/>
          <w:b/>
          <w:color w:val="auto"/>
          <w:sz w:val="24"/>
          <w:szCs w:val="24"/>
        </w:rPr>
      </w:pPr>
      <w:bookmarkStart w:id="8" w:name="_Toc532572762"/>
      <w:r w:rsidRPr="000D2ABF">
        <w:rPr>
          <w:rFonts w:ascii="Times New Roman" w:hAnsi="Times New Roman" w:cs="Times New Roman"/>
          <w:b/>
          <w:color w:val="auto"/>
          <w:sz w:val="24"/>
          <w:szCs w:val="24"/>
        </w:rPr>
        <w:t>3. CONCLUSIONES</w:t>
      </w:r>
      <w:bookmarkEnd w:id="8"/>
    </w:p>
    <w:p w:rsidR="000D2ABF" w:rsidRPr="000D2ABF" w:rsidRDefault="000D2ABF" w:rsidP="000D2ABF">
      <w:pPr>
        <w:pStyle w:val="Default"/>
        <w:jc w:val="both"/>
        <w:rPr>
          <w:rFonts w:ascii="Times New Roman" w:hAnsi="Times New Roman" w:cs="Times New Roman"/>
          <w:color w:val="auto"/>
        </w:rPr>
      </w:pPr>
      <w:r w:rsidRPr="000D2ABF">
        <w:rPr>
          <w:rFonts w:ascii="Times New Roman" w:hAnsi="Times New Roman" w:cs="Times New Roman"/>
          <w:color w:val="auto"/>
        </w:rPr>
        <w:t>En relación con el cumplimiento de las recomendaciones vertidas en el informe 47-</w:t>
      </w:r>
      <w:r w:rsidRPr="000D2ABF">
        <w:rPr>
          <w:rFonts w:ascii="Times New Roman" w:hAnsi="Times New Roman" w:cs="Times New Roman"/>
          <w:i/>
          <w:color w:val="auto"/>
        </w:rPr>
        <w:t xml:space="preserve">10 </w:t>
      </w:r>
      <w:r w:rsidRPr="000D2ABF">
        <w:rPr>
          <w:rFonts w:ascii="Times New Roman" w:hAnsi="Times New Roman" w:cs="Times New Roman"/>
          <w:i/>
        </w:rPr>
        <w:t>Hospicio de Huérfanos de San José</w:t>
      </w:r>
      <w:r w:rsidRPr="000D2ABF">
        <w:rPr>
          <w:rFonts w:ascii="Times New Roman" w:hAnsi="Times New Roman" w:cs="Times New Roman"/>
        </w:rPr>
        <w:t xml:space="preserve"> </w:t>
      </w:r>
      <w:r w:rsidRPr="000D2ABF">
        <w:rPr>
          <w:rFonts w:ascii="Times New Roman" w:hAnsi="Times New Roman" w:cs="Times New Roman"/>
          <w:color w:val="auto"/>
        </w:rPr>
        <w:t xml:space="preserve">y, de acuerdo a las entrevistas realizadas a los involucrados en </w:t>
      </w:r>
      <w:r w:rsidR="004743D8">
        <w:rPr>
          <w:rFonts w:ascii="Times New Roman" w:hAnsi="Times New Roman" w:cs="Times New Roman"/>
          <w:color w:val="auto"/>
        </w:rPr>
        <w:t>el cumplimiento de lo</w:t>
      </w:r>
      <w:r w:rsidR="009B63EE">
        <w:rPr>
          <w:rFonts w:ascii="Times New Roman" w:hAnsi="Times New Roman" w:cs="Times New Roman"/>
          <w:color w:val="auto"/>
        </w:rPr>
        <w:t xml:space="preserve"> recomendado, así como, </w:t>
      </w:r>
      <w:r w:rsidRPr="000D2ABF">
        <w:rPr>
          <w:rFonts w:ascii="Times New Roman" w:hAnsi="Times New Roman" w:cs="Times New Roman"/>
          <w:color w:val="auto"/>
        </w:rPr>
        <w:t xml:space="preserve">lo extraído de la información recibida, se evidenció que las recomendaciones fueron tomadas como oportunidades de mejora y que se ejecutaron una serie de acciones con el propósito de implementar y cumplir con lo recomendado. Esto demuestra de forma razonable el cumplimiento satisfactorio de 7 recomendaciones, 1 no aplica y 1 sigue en proceso de cumplimiento (4.5), por lo tanto se gira la siguiente recomendación. </w:t>
      </w:r>
    </w:p>
    <w:p w:rsidR="004743D8" w:rsidRPr="004743D8" w:rsidRDefault="004743D8" w:rsidP="004743D8">
      <w:pPr>
        <w:pStyle w:val="Ttulo1"/>
        <w:jc w:val="both"/>
        <w:rPr>
          <w:rFonts w:ascii="Times New Roman" w:hAnsi="Times New Roman" w:cs="Times New Roman"/>
          <w:b/>
          <w:color w:val="auto"/>
          <w:sz w:val="24"/>
          <w:szCs w:val="24"/>
        </w:rPr>
      </w:pPr>
      <w:bookmarkStart w:id="9" w:name="_Toc532572763"/>
      <w:r w:rsidRPr="004743D8">
        <w:rPr>
          <w:rFonts w:ascii="Times New Roman" w:hAnsi="Times New Roman" w:cs="Times New Roman"/>
          <w:b/>
          <w:color w:val="auto"/>
          <w:sz w:val="24"/>
          <w:szCs w:val="24"/>
        </w:rPr>
        <w:lastRenderedPageBreak/>
        <w:t>4. RECOMENDACIÓN</w:t>
      </w:r>
      <w:bookmarkEnd w:id="9"/>
    </w:p>
    <w:p w:rsidR="004743D8" w:rsidRPr="006D095E" w:rsidRDefault="004743D8" w:rsidP="004743D8"/>
    <w:p w:rsidR="004743D8" w:rsidRPr="006D095E" w:rsidRDefault="004743D8" w:rsidP="004743D8">
      <w:r>
        <w:rPr>
          <w:b/>
        </w:rPr>
        <w:t>4.1 A la Dirección de Planificación Institucional</w:t>
      </w:r>
    </w:p>
    <w:p w:rsidR="004743D8" w:rsidRPr="006D095E" w:rsidRDefault="004743D8" w:rsidP="004743D8">
      <w:pPr>
        <w:jc w:val="both"/>
      </w:pPr>
      <w:r>
        <w:t>Cumplir para el periodo lectivo 2019, con lo recomendado en el punto 4.5 y enviar en un plazo de diez días hábiles a esta Dirección de Auditoría los documentos que comprueben el cumplimiento.</w:t>
      </w:r>
    </w:p>
    <w:p w:rsidR="009374E9" w:rsidRPr="007D5787" w:rsidRDefault="004743D8" w:rsidP="007D5787">
      <w:pPr>
        <w:pStyle w:val="Ttulo1"/>
        <w:jc w:val="both"/>
        <w:rPr>
          <w:rFonts w:ascii="Times New Roman" w:hAnsi="Times New Roman" w:cs="Times New Roman"/>
          <w:b/>
          <w:color w:val="auto"/>
          <w:sz w:val="24"/>
          <w:szCs w:val="24"/>
        </w:rPr>
      </w:pPr>
      <w:bookmarkStart w:id="10" w:name="_Toc532572764"/>
      <w:r>
        <w:rPr>
          <w:rFonts w:ascii="Times New Roman" w:hAnsi="Times New Roman" w:cs="Times New Roman"/>
          <w:b/>
          <w:color w:val="auto"/>
          <w:sz w:val="24"/>
          <w:szCs w:val="24"/>
        </w:rPr>
        <w:t>5</w:t>
      </w:r>
      <w:r w:rsidR="00453D12" w:rsidRPr="000D2ABF">
        <w:rPr>
          <w:rFonts w:ascii="Times New Roman" w:hAnsi="Times New Roman" w:cs="Times New Roman"/>
          <w:b/>
          <w:color w:val="auto"/>
          <w:sz w:val="24"/>
          <w:szCs w:val="24"/>
        </w:rPr>
        <w:t>. PUNTOS ESPECÍFICOS</w:t>
      </w:r>
      <w:bookmarkStart w:id="11" w:name="_Toc532572765"/>
      <w:bookmarkEnd w:id="10"/>
    </w:p>
    <w:p w:rsidR="007D5787" w:rsidRDefault="007D5787" w:rsidP="009374E9">
      <w:pPr>
        <w:pStyle w:val="Ttulo2"/>
        <w:spacing w:before="0" w:beforeAutospacing="0" w:after="0" w:afterAutospacing="0"/>
        <w:jc w:val="both"/>
        <w:rPr>
          <w:sz w:val="24"/>
          <w:szCs w:val="24"/>
        </w:rPr>
      </w:pPr>
    </w:p>
    <w:p w:rsidR="00453D12" w:rsidRPr="000D2ABF" w:rsidRDefault="00453D12" w:rsidP="009374E9">
      <w:pPr>
        <w:pStyle w:val="Ttulo2"/>
        <w:spacing w:before="0" w:beforeAutospacing="0" w:after="0" w:afterAutospacing="0"/>
        <w:jc w:val="both"/>
        <w:rPr>
          <w:sz w:val="24"/>
          <w:szCs w:val="24"/>
        </w:rPr>
      </w:pPr>
      <w:r w:rsidRPr="000D2ABF">
        <w:rPr>
          <w:sz w:val="24"/>
          <w:szCs w:val="24"/>
        </w:rPr>
        <w:t>4.1 Origen</w:t>
      </w:r>
      <w:bookmarkEnd w:id="11"/>
    </w:p>
    <w:p w:rsidR="0058372B" w:rsidRPr="000D2ABF" w:rsidRDefault="0058372B" w:rsidP="000D2ABF">
      <w:pPr>
        <w:jc w:val="both"/>
      </w:pPr>
      <w:r w:rsidRPr="000D2ABF">
        <w:t>El presente informe tiene su origen en el Plan de Trabajo de la Auditoría Interna, en el apartado correspondiente al seguimiento de las recomendaciones, conforme lo dispone la Ley General de Control Interno No 8292, en sus artículos 17, inciso c) y 22, inciso g).</w:t>
      </w:r>
    </w:p>
    <w:p w:rsidR="00453D12" w:rsidRDefault="00453D12" w:rsidP="009374E9">
      <w:pPr>
        <w:pStyle w:val="Ttulo2"/>
        <w:spacing w:after="0" w:afterAutospacing="0"/>
        <w:jc w:val="both"/>
        <w:rPr>
          <w:sz w:val="24"/>
          <w:szCs w:val="24"/>
        </w:rPr>
      </w:pPr>
      <w:bookmarkStart w:id="12" w:name="_Toc532572766"/>
      <w:r w:rsidRPr="000D2ABF">
        <w:rPr>
          <w:sz w:val="24"/>
          <w:szCs w:val="24"/>
        </w:rPr>
        <w:t>4.2 Normativa Aplicable</w:t>
      </w:r>
      <w:bookmarkEnd w:id="12"/>
      <w:r w:rsidRPr="000D2ABF">
        <w:rPr>
          <w:sz w:val="24"/>
          <w:szCs w:val="24"/>
        </w:rPr>
        <w:t xml:space="preserve"> </w:t>
      </w:r>
    </w:p>
    <w:p w:rsidR="00453D12" w:rsidRPr="000D2ABF" w:rsidRDefault="00453D12" w:rsidP="009374E9">
      <w:pPr>
        <w:jc w:val="both"/>
      </w:pPr>
      <w:r w:rsidRPr="000D2ABF">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Pr="000D2ABF" w:rsidRDefault="004743D8" w:rsidP="000D2ABF">
      <w:pPr>
        <w:pStyle w:val="Ttulo1"/>
        <w:jc w:val="both"/>
        <w:rPr>
          <w:rFonts w:ascii="Times New Roman" w:hAnsi="Times New Roman" w:cs="Times New Roman"/>
          <w:b/>
          <w:color w:val="auto"/>
          <w:sz w:val="24"/>
          <w:szCs w:val="24"/>
        </w:rPr>
      </w:pPr>
      <w:bookmarkStart w:id="13" w:name="_Toc532572767"/>
      <w:r>
        <w:rPr>
          <w:rFonts w:ascii="Times New Roman" w:hAnsi="Times New Roman" w:cs="Times New Roman"/>
          <w:b/>
          <w:color w:val="auto"/>
          <w:sz w:val="24"/>
          <w:szCs w:val="24"/>
        </w:rPr>
        <w:t>6</w:t>
      </w:r>
      <w:r w:rsidR="00453D12" w:rsidRPr="000D2ABF">
        <w:rPr>
          <w:rFonts w:ascii="Times New Roman" w:hAnsi="Times New Roman" w:cs="Times New Roman"/>
          <w:b/>
          <w:color w:val="auto"/>
          <w:sz w:val="24"/>
          <w:szCs w:val="24"/>
        </w:rPr>
        <w:t>. NOMBRES Y FIRMAS</w:t>
      </w:r>
      <w:bookmarkEnd w:id="13"/>
      <w:r w:rsidR="00453D12" w:rsidRPr="000D2ABF">
        <w:rPr>
          <w:rFonts w:ascii="Times New Roman" w:hAnsi="Times New Roman" w:cs="Times New Roman"/>
          <w:b/>
          <w:color w:val="auto"/>
          <w:sz w:val="24"/>
          <w:szCs w:val="24"/>
        </w:rPr>
        <w:t xml:space="preserve"> </w:t>
      </w:r>
    </w:p>
    <w:tbl>
      <w:tblPr>
        <w:tblW w:w="0" w:type="auto"/>
        <w:tblLook w:val="04A0" w:firstRow="1" w:lastRow="0" w:firstColumn="1" w:lastColumn="0" w:noHBand="0" w:noVBand="1"/>
      </w:tblPr>
      <w:tblGrid>
        <w:gridCol w:w="4185"/>
        <w:gridCol w:w="4187"/>
      </w:tblGrid>
      <w:tr w:rsidR="00453D12" w:rsidRPr="000D2ABF" w:rsidTr="00932F45">
        <w:trPr>
          <w:trHeight w:val="1910"/>
        </w:trPr>
        <w:tc>
          <w:tcPr>
            <w:tcW w:w="4185" w:type="dxa"/>
          </w:tcPr>
          <w:p w:rsidR="00CD444B" w:rsidRDefault="00CD444B" w:rsidP="000D2ABF">
            <w:pPr>
              <w:jc w:val="both"/>
              <w:rPr>
                <w:lang w:eastAsia="es-ES"/>
              </w:rPr>
            </w:pPr>
          </w:p>
          <w:p w:rsidR="00932F45" w:rsidRPr="000D2ABF" w:rsidRDefault="00932F45" w:rsidP="000D2ABF">
            <w:pPr>
              <w:jc w:val="both"/>
              <w:rPr>
                <w:lang w:eastAsia="es-ES"/>
              </w:rPr>
            </w:pPr>
          </w:p>
          <w:p w:rsidR="00CD444B" w:rsidRDefault="00CD444B" w:rsidP="000D2ABF">
            <w:pPr>
              <w:pBdr>
                <w:bottom w:val="single" w:sz="12" w:space="1" w:color="auto"/>
              </w:pBdr>
              <w:jc w:val="both"/>
              <w:rPr>
                <w:lang w:eastAsia="es-ES"/>
              </w:rPr>
            </w:pPr>
          </w:p>
          <w:p w:rsidR="007D5787" w:rsidRPr="000D2ABF" w:rsidRDefault="007D5787" w:rsidP="000D2ABF">
            <w:pPr>
              <w:pBdr>
                <w:bottom w:val="single" w:sz="12" w:space="1" w:color="auto"/>
              </w:pBdr>
              <w:jc w:val="both"/>
              <w:rPr>
                <w:lang w:eastAsia="es-ES"/>
              </w:rPr>
            </w:pPr>
          </w:p>
          <w:p w:rsidR="00453D12" w:rsidRPr="000D2ABF" w:rsidRDefault="00453D12" w:rsidP="000D2ABF">
            <w:pPr>
              <w:jc w:val="both"/>
              <w:rPr>
                <w:lang w:eastAsia="es-ES"/>
              </w:rPr>
            </w:pPr>
            <w:r w:rsidRPr="000D2ABF">
              <w:rPr>
                <w:lang w:eastAsia="es-ES"/>
              </w:rPr>
              <w:t>Lic.</w:t>
            </w:r>
            <w:r w:rsidR="00A455FB" w:rsidRPr="000D2ABF">
              <w:rPr>
                <w:lang w:eastAsia="es-ES"/>
              </w:rPr>
              <w:t xml:space="preserve"> </w:t>
            </w:r>
            <w:r w:rsidR="004743D8">
              <w:rPr>
                <w:lang w:eastAsia="es-ES"/>
              </w:rPr>
              <w:t>Eric Rivas Ellis</w:t>
            </w:r>
          </w:p>
          <w:p w:rsidR="00453D12" w:rsidRPr="000D2ABF" w:rsidRDefault="004743D8" w:rsidP="000D2ABF">
            <w:pPr>
              <w:jc w:val="both"/>
              <w:rPr>
                <w:lang w:eastAsia="es-ES"/>
              </w:rPr>
            </w:pPr>
            <w:r>
              <w:rPr>
                <w:lang w:eastAsia="es-ES"/>
              </w:rPr>
              <w:t>Auditor Encargado</w:t>
            </w:r>
          </w:p>
        </w:tc>
        <w:tc>
          <w:tcPr>
            <w:tcW w:w="4187" w:type="dxa"/>
          </w:tcPr>
          <w:p w:rsidR="00CD444B" w:rsidRPr="000D2ABF" w:rsidRDefault="00CD444B" w:rsidP="000D2ABF">
            <w:pPr>
              <w:jc w:val="both"/>
              <w:rPr>
                <w:lang w:eastAsia="es-ES"/>
              </w:rPr>
            </w:pPr>
          </w:p>
          <w:p w:rsidR="00CD444B" w:rsidRDefault="00CD444B" w:rsidP="000D2ABF">
            <w:pPr>
              <w:pBdr>
                <w:bottom w:val="single" w:sz="12" w:space="1" w:color="auto"/>
              </w:pBdr>
              <w:jc w:val="both"/>
              <w:rPr>
                <w:lang w:eastAsia="es-ES"/>
              </w:rPr>
            </w:pPr>
          </w:p>
          <w:p w:rsidR="00932F45" w:rsidRDefault="00932F45" w:rsidP="000D2ABF">
            <w:pPr>
              <w:pBdr>
                <w:bottom w:val="single" w:sz="12" w:space="1" w:color="auto"/>
              </w:pBdr>
              <w:jc w:val="both"/>
              <w:rPr>
                <w:lang w:eastAsia="es-ES"/>
              </w:rPr>
            </w:pPr>
          </w:p>
          <w:p w:rsidR="007D5787" w:rsidRPr="000D2ABF" w:rsidRDefault="007D5787" w:rsidP="000D2ABF">
            <w:pPr>
              <w:pBdr>
                <w:bottom w:val="single" w:sz="12" w:space="1" w:color="auto"/>
              </w:pBdr>
              <w:jc w:val="both"/>
              <w:rPr>
                <w:lang w:eastAsia="es-ES"/>
              </w:rPr>
            </w:pPr>
          </w:p>
          <w:p w:rsidR="004743D8" w:rsidRPr="000D2ABF" w:rsidRDefault="004743D8" w:rsidP="004743D8">
            <w:pPr>
              <w:jc w:val="both"/>
              <w:rPr>
                <w:lang w:eastAsia="es-ES"/>
              </w:rPr>
            </w:pPr>
            <w:r w:rsidRPr="000D2ABF">
              <w:rPr>
                <w:lang w:eastAsia="es-ES"/>
              </w:rPr>
              <w:t>Licda. Alba Virginia Camacho De la O</w:t>
            </w:r>
          </w:p>
          <w:p w:rsidR="00D53623" w:rsidRDefault="004743D8" w:rsidP="004743D8">
            <w:pPr>
              <w:jc w:val="both"/>
              <w:rPr>
                <w:lang w:eastAsia="es-ES"/>
              </w:rPr>
            </w:pPr>
            <w:r w:rsidRPr="000D2ABF">
              <w:rPr>
                <w:lang w:eastAsia="es-ES"/>
              </w:rPr>
              <w:t>Jefe Departamento de Auditoría</w:t>
            </w:r>
          </w:p>
          <w:p w:rsidR="004743D8" w:rsidRPr="000D2ABF" w:rsidRDefault="004743D8" w:rsidP="004743D8">
            <w:pPr>
              <w:jc w:val="both"/>
              <w:rPr>
                <w:lang w:eastAsia="es-ES"/>
              </w:rPr>
            </w:pPr>
            <w:r w:rsidRPr="000D2ABF">
              <w:rPr>
                <w:lang w:eastAsia="es-ES"/>
              </w:rPr>
              <w:t>de Evaluación y Cumplimiento</w:t>
            </w:r>
            <w:r w:rsidR="00CD444B" w:rsidRPr="000D2ABF">
              <w:rPr>
                <w:lang w:eastAsia="es-ES"/>
              </w:rPr>
              <w:t xml:space="preserve">           </w:t>
            </w:r>
          </w:p>
          <w:p w:rsidR="00453D12" w:rsidRPr="000D2ABF" w:rsidRDefault="00453D12" w:rsidP="000D2ABF">
            <w:pPr>
              <w:jc w:val="both"/>
              <w:rPr>
                <w:lang w:eastAsia="es-ES"/>
              </w:rPr>
            </w:pPr>
          </w:p>
        </w:tc>
      </w:tr>
      <w:tr w:rsidR="00453D12" w:rsidRPr="000D2ABF" w:rsidTr="00932F45">
        <w:trPr>
          <w:trHeight w:val="1438"/>
        </w:trPr>
        <w:tc>
          <w:tcPr>
            <w:tcW w:w="4185" w:type="dxa"/>
          </w:tcPr>
          <w:p w:rsidR="00453D12" w:rsidRPr="000D2ABF" w:rsidRDefault="00453D12" w:rsidP="000D2ABF">
            <w:pPr>
              <w:jc w:val="both"/>
              <w:rPr>
                <w:lang w:eastAsia="es-ES"/>
              </w:rPr>
            </w:pPr>
          </w:p>
          <w:p w:rsidR="00CD444B" w:rsidRPr="000D2ABF" w:rsidRDefault="00CD444B" w:rsidP="000D2ABF">
            <w:pPr>
              <w:pBdr>
                <w:bottom w:val="single" w:sz="12" w:space="1" w:color="auto"/>
              </w:pBdr>
              <w:jc w:val="both"/>
              <w:rPr>
                <w:lang w:eastAsia="es-ES"/>
              </w:rPr>
            </w:pPr>
          </w:p>
          <w:p w:rsidR="004743D8" w:rsidRPr="000D2ABF" w:rsidRDefault="004743D8" w:rsidP="004743D8">
            <w:pPr>
              <w:jc w:val="both"/>
              <w:rPr>
                <w:lang w:eastAsia="es-ES"/>
              </w:rPr>
            </w:pPr>
            <w:r w:rsidRPr="000D2ABF">
              <w:rPr>
                <w:lang w:eastAsia="es-ES"/>
              </w:rPr>
              <w:t xml:space="preserve">MBA.  Sarita Pérez Umaña                                        </w:t>
            </w:r>
          </w:p>
          <w:p w:rsidR="00453D12" w:rsidRPr="000D2ABF" w:rsidRDefault="00D53623" w:rsidP="004743D8">
            <w:pPr>
              <w:jc w:val="both"/>
              <w:rPr>
                <w:lang w:eastAsia="es-ES"/>
              </w:rPr>
            </w:pPr>
            <w:proofErr w:type="spellStart"/>
            <w:r>
              <w:rPr>
                <w:lang w:eastAsia="es-ES"/>
              </w:rPr>
              <w:t>Subauditora</w:t>
            </w:r>
            <w:proofErr w:type="spellEnd"/>
            <w:r>
              <w:rPr>
                <w:lang w:eastAsia="es-ES"/>
              </w:rPr>
              <w:t xml:space="preserve"> I</w:t>
            </w:r>
            <w:r w:rsidRPr="000D2ABF">
              <w:rPr>
                <w:lang w:eastAsia="es-ES"/>
              </w:rPr>
              <w:t>nterna</w:t>
            </w:r>
            <w:r>
              <w:rPr>
                <w:lang w:eastAsia="es-ES"/>
              </w:rPr>
              <w:t xml:space="preserve"> </w:t>
            </w:r>
            <w:proofErr w:type="spellStart"/>
            <w:r w:rsidR="009374E9">
              <w:rPr>
                <w:lang w:eastAsia="es-ES"/>
              </w:rPr>
              <w:t>a.i</w:t>
            </w:r>
            <w:proofErr w:type="spellEnd"/>
          </w:p>
        </w:tc>
        <w:tc>
          <w:tcPr>
            <w:tcW w:w="4187" w:type="dxa"/>
          </w:tcPr>
          <w:p w:rsidR="00453D12" w:rsidRPr="000D2ABF" w:rsidRDefault="00453D12" w:rsidP="000D2ABF">
            <w:pPr>
              <w:jc w:val="both"/>
              <w:rPr>
                <w:lang w:eastAsia="es-ES"/>
              </w:rPr>
            </w:pPr>
          </w:p>
          <w:p w:rsidR="00CD444B" w:rsidRPr="000D2ABF" w:rsidRDefault="00CD444B" w:rsidP="000D2ABF">
            <w:pPr>
              <w:pBdr>
                <w:bottom w:val="single" w:sz="12" w:space="1" w:color="auto"/>
              </w:pBdr>
              <w:jc w:val="both"/>
              <w:rPr>
                <w:lang w:eastAsia="es-ES"/>
              </w:rPr>
            </w:pPr>
          </w:p>
          <w:p w:rsidR="004743D8" w:rsidRPr="000D2ABF" w:rsidRDefault="004743D8" w:rsidP="004743D8">
            <w:pPr>
              <w:jc w:val="both"/>
              <w:rPr>
                <w:lang w:eastAsia="es-ES"/>
              </w:rPr>
            </w:pPr>
            <w:r w:rsidRPr="000D2ABF">
              <w:rPr>
                <w:lang w:eastAsia="es-ES"/>
              </w:rPr>
              <w:t>MBA. Edier Navarro Esquivel</w:t>
            </w:r>
          </w:p>
          <w:p w:rsidR="004743D8" w:rsidRPr="000D2ABF" w:rsidRDefault="00D53623" w:rsidP="004743D8">
            <w:pPr>
              <w:jc w:val="both"/>
              <w:rPr>
                <w:lang w:eastAsia="es-ES"/>
              </w:rPr>
            </w:pPr>
            <w:r>
              <w:rPr>
                <w:lang w:eastAsia="es-ES"/>
              </w:rPr>
              <w:t>A</w:t>
            </w:r>
            <w:r w:rsidRPr="000D2ABF">
              <w:rPr>
                <w:lang w:eastAsia="es-ES"/>
              </w:rPr>
              <w:t xml:space="preserve">uditor </w:t>
            </w:r>
            <w:r>
              <w:rPr>
                <w:lang w:eastAsia="es-ES"/>
              </w:rPr>
              <w:t>I</w:t>
            </w:r>
            <w:r w:rsidRPr="000D2ABF">
              <w:rPr>
                <w:lang w:eastAsia="es-ES"/>
              </w:rPr>
              <w:t xml:space="preserve">nterno    </w:t>
            </w:r>
          </w:p>
          <w:p w:rsidR="00CD444B" w:rsidRPr="000D2ABF" w:rsidRDefault="00FB1158" w:rsidP="000D2ABF">
            <w:pPr>
              <w:jc w:val="both"/>
              <w:rPr>
                <w:lang w:eastAsia="es-ES"/>
              </w:rPr>
            </w:pPr>
            <w:r w:rsidRPr="000D2ABF">
              <w:rPr>
                <w:lang w:eastAsia="es-ES"/>
              </w:rPr>
              <w:t xml:space="preserve">                                    </w:t>
            </w:r>
          </w:p>
          <w:p w:rsidR="00453D12" w:rsidRPr="000D2ABF" w:rsidRDefault="00453D12" w:rsidP="000D2ABF">
            <w:pPr>
              <w:jc w:val="both"/>
              <w:rPr>
                <w:lang w:eastAsia="es-ES"/>
              </w:rPr>
            </w:pPr>
          </w:p>
        </w:tc>
      </w:tr>
    </w:tbl>
    <w:p w:rsidR="00802328" w:rsidRPr="007D5787" w:rsidRDefault="00232A5A" w:rsidP="004743D8">
      <w:pPr>
        <w:pStyle w:val="Sinespaciado"/>
        <w:jc w:val="right"/>
        <w:rPr>
          <w:b/>
          <w:sz w:val="22"/>
          <w:szCs w:val="22"/>
          <w:lang w:val="es-CR" w:eastAsia="es-ES"/>
        </w:rPr>
      </w:pPr>
      <w:r w:rsidRPr="007D5787">
        <w:rPr>
          <w:b/>
          <w:sz w:val="22"/>
          <w:szCs w:val="22"/>
          <w:lang w:val="es-CR" w:eastAsia="es-ES"/>
        </w:rPr>
        <w:t>Estudio</w:t>
      </w:r>
      <w:r w:rsidR="004743D8" w:rsidRPr="007D5787">
        <w:rPr>
          <w:b/>
          <w:sz w:val="22"/>
          <w:szCs w:val="22"/>
          <w:lang w:val="es-CR" w:eastAsia="es-ES"/>
        </w:rPr>
        <w:t xml:space="preserve"> 68-2010</w:t>
      </w:r>
      <w:r w:rsidRPr="007D5787">
        <w:rPr>
          <w:b/>
          <w:sz w:val="22"/>
          <w:szCs w:val="22"/>
          <w:lang w:val="es-CR" w:eastAsia="es-ES"/>
        </w:rPr>
        <w:t xml:space="preserve"> </w:t>
      </w:r>
    </w:p>
    <w:sectPr w:rsidR="00802328" w:rsidRPr="007D5787"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EA7" w:rsidRDefault="00EC0EA7" w:rsidP="006E3FF9">
      <w:r>
        <w:separator/>
      </w:r>
    </w:p>
  </w:endnote>
  <w:endnote w:type="continuationSeparator" w:id="0">
    <w:p w:rsidR="00EC0EA7" w:rsidRDefault="00EC0EA7"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E956EF">
      <w:rPr>
        <w:b/>
        <w:bCs/>
        <w:noProof/>
        <w:lang w:eastAsia="es-ES"/>
      </w:rPr>
      <w:t>12</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E956EF">
      <w:rPr>
        <w:b/>
        <w:bCs/>
        <w:noProof/>
        <w:lang w:eastAsia="es-ES"/>
      </w:rPr>
      <w:t>12</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EA7" w:rsidRDefault="00EC0EA7" w:rsidP="006E3FF9">
      <w:r>
        <w:separator/>
      </w:r>
    </w:p>
  </w:footnote>
  <w:footnote w:type="continuationSeparator" w:id="0">
    <w:p w:rsidR="00EC0EA7" w:rsidRDefault="00EC0EA7"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ABF" w:rsidRPr="002100F9" w:rsidRDefault="007E32B1" w:rsidP="002100F9">
    <w:pPr>
      <w:pStyle w:val="Encabezado"/>
      <w:tabs>
        <w:tab w:val="clear" w:pos="4320"/>
        <w:tab w:val="clear" w:pos="8640"/>
        <w:tab w:val="center" w:pos="4252"/>
        <w:tab w:val="right" w:pos="8504"/>
      </w:tabs>
      <w:suppressAutoHyphens w:val="0"/>
      <w:rPr>
        <w:rFonts w:ascii="Times New Roman" w:hAnsi="Times New Roman"/>
        <w:b/>
        <w:sz w:val="28"/>
        <w:szCs w:val="28"/>
        <w:lang w:val="es-ES" w:eastAsia="es-ES"/>
      </w:rPr>
    </w:pPr>
    <w:r w:rsidRPr="002100F9">
      <w:rPr>
        <w:rFonts w:ascii="Times New Roman" w:hAnsi="Times New Roman"/>
        <w:b/>
        <w:szCs w:val="28"/>
        <w:lang w:eastAsia="es-ES"/>
      </w:rPr>
      <w:t xml:space="preserve">INFORME </w:t>
    </w:r>
    <w:r w:rsidR="00D53623">
      <w:rPr>
        <w:rFonts w:ascii="Times New Roman" w:hAnsi="Times New Roman"/>
        <w:b/>
        <w:szCs w:val="28"/>
        <w:lang w:eastAsia="es-ES"/>
      </w:rPr>
      <w:t>106</w:t>
    </w:r>
    <w:r w:rsidRPr="002100F9">
      <w:rPr>
        <w:rFonts w:ascii="Times New Roman" w:hAnsi="Times New Roman"/>
        <w:b/>
        <w:szCs w:val="28"/>
        <w:lang w:eastAsia="es-ES"/>
      </w:rPr>
      <w:t xml:space="preserve">-18 </w:t>
    </w:r>
    <w:r w:rsidR="000D2ABF" w:rsidRPr="002100F9">
      <w:rPr>
        <w:rFonts w:ascii="Times New Roman" w:hAnsi="Times New Roman"/>
        <w:b/>
        <w:szCs w:val="28"/>
        <w:lang w:eastAsia="es-ES"/>
      </w:rPr>
      <w:t>SEG. INF. 47-10 HOSPICIO DE HUÉRFANOS DE SJ</w:t>
    </w:r>
    <w:r w:rsidR="00D53623">
      <w:rPr>
        <w:rFonts w:ascii="Times New Roman" w:hAnsi="Times New Roman"/>
        <w:b/>
        <w:szCs w:val="28"/>
        <w:lang w:eastAsia="es-ES"/>
      </w:rPr>
      <w:t>.</w:t>
    </w:r>
  </w:p>
  <w:p w:rsidR="007E32B1" w:rsidRPr="002100F9" w:rsidRDefault="007E32B1" w:rsidP="002100F9">
    <w:pPr>
      <w:pBdr>
        <w:bottom w:val="single" w:sz="4" w:space="1" w:color="auto"/>
      </w:pBdr>
      <w:tabs>
        <w:tab w:val="left" w:pos="7371"/>
      </w:tabs>
      <w:rPr>
        <w:b/>
        <w:bCs/>
        <w:szCs w:val="28"/>
        <w:lang w:eastAsia="es-ES"/>
      </w:rPr>
    </w:pP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9C1BD7"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column">
                <wp:posOffset>2667319</wp:posOffset>
              </wp:positionH>
              <wp:positionV relativeFrom="paragraph">
                <wp:posOffset>136481</wp:posOffset>
              </wp:positionV>
              <wp:extent cx="2692738" cy="803767"/>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738" cy="803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Default="003A0E55"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D53623">
                            <w:rPr>
                              <w:rFonts w:ascii="Times New Roman" w:hAnsi="Times New Roman"/>
                              <w:b/>
                              <w:sz w:val="28"/>
                              <w:szCs w:val="28"/>
                              <w:lang w:val="es-ES" w:eastAsia="es-ES"/>
                            </w:rPr>
                            <w:t>106-</w:t>
                          </w:r>
                          <w:r>
                            <w:rPr>
                              <w:rFonts w:ascii="Times New Roman" w:hAnsi="Times New Roman"/>
                              <w:b/>
                              <w:sz w:val="28"/>
                              <w:szCs w:val="28"/>
                              <w:lang w:val="es-ES" w:eastAsia="es-ES"/>
                            </w:rPr>
                            <w:t>18</w:t>
                          </w:r>
                        </w:p>
                        <w:p w:rsidR="00744DED" w:rsidRDefault="00E81CAF"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 INF.</w:t>
                          </w:r>
                          <w:r w:rsidR="009C1BD7">
                            <w:rPr>
                              <w:rFonts w:ascii="Times New Roman" w:hAnsi="Times New Roman"/>
                              <w:b/>
                              <w:sz w:val="28"/>
                              <w:szCs w:val="28"/>
                              <w:lang w:val="es-ES" w:eastAsia="es-ES"/>
                            </w:rPr>
                            <w:t xml:space="preserve"> </w:t>
                          </w:r>
                          <w:r w:rsidR="000D2ABF">
                            <w:rPr>
                              <w:rFonts w:ascii="Times New Roman" w:hAnsi="Times New Roman"/>
                              <w:b/>
                              <w:sz w:val="28"/>
                              <w:szCs w:val="28"/>
                              <w:lang w:val="es-ES" w:eastAsia="es-ES"/>
                            </w:rPr>
                            <w:t>47-10 HOSPICIO DE HUÉRFANOS DE SJ</w:t>
                          </w:r>
                          <w:r w:rsidR="00D53623">
                            <w:rPr>
                              <w:rFonts w:ascii="Times New Roman" w:hAnsi="Times New Roman"/>
                              <w:b/>
                              <w:sz w:val="28"/>
                              <w:szCs w:val="28"/>
                              <w:lang w:val="es-ES" w:eastAsia="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210.05pt;margin-top:10.75pt;width:212.05pt;height:6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f5ggIAAA8FAAAOAAAAZHJzL2Uyb0RvYy54bWysVNuO2yAQfa/Uf0C8Z31Z52JrndVemqrS&#10;9iLt9gMI4BgVAwUSe7vqv3fASTbbi1RV9QNmYDjMzDnDxeXQSbTj1gmtapydpRhxRTUTalPjzw+r&#10;yQIj54liRGrFa/zIHb5cvn510ZuK57rVknGLAES5qjc1br03VZI42vKOuDNtuILNRtuOeDDtJmGW&#10;9IDeySRP01nSa8uM1ZQ7B6u34yZeRvym4dR/bBrHPZI1hth8HG0c12FMlhek2lhiWkH3YZB/iKIj&#10;QsGlR6hb4gnaWvELVCeo1U43/ozqLtFNIyiPOUA2WfpTNvctMTzmAsVx5lgm9/9g6YfdJ4sEq/E5&#10;Rop0QNEDHzy61gPKQnV64ypwujfg5gdYBpZjps7cafrFIaVvWqI2/Mpa3becMIgunkxOjo44LoCs&#10;+/eawTVk63UEGhrbhdJBMRCgA0uPR2ZCKBQW81mZz89BSxT2Fun5fDYPwSWkOpw21vm3XHcoTGps&#10;gfmITnZ3zo+uB5dwmdNSsJWQMhp2s76RFu0IqGQVvz36CzepgrPS4diIOK5AkHBH2AvhRtafyiwv&#10;0uu8nKxmi/mkWBXTSTlPF5M0K6/LWVqUxe3qewgwK6pWMMbVnVD8oMCs+DuG970waidqEPU1Lqf5&#10;dKToj0mm8ftdkp3w0JBSdKHO4QtOpArEvlEszj0RcpwnL8OPhEANDv9YlSiDwPyoAT+sB0AJ2lhr&#10;9giCsBr4AtbhFYFJq+03jHroyBq7r1tiOUbynQJRlVlRhBaORjGd52DY05316Q5RFKBq7DEapzd+&#10;bPutsWLTwk2jjJW+AiE2ImrkOSpIIRjQdTGZ/QsR2vrUjl7P79jyBwAAAP//AwBQSwMEFAAGAAgA&#10;AAAhAFKQKHneAAAACgEAAA8AAABkcnMvZG93bnJldi54bWxMj0FOwzAQRfdI3MEaJDaIOoncNoQ4&#10;FSCB2Lb0AJPYTSLicRS7TXp7hhUsR//p/zflbnGDuNgp9J40pKsEhKXGm55aDcev98ccRIhIBgdP&#10;VsPVBthVtzclFsbPtLeXQ2wFl1AoUEMX41hIGZrOOgwrP1ri7OQnh5HPqZVmwpnL3SCzJNlIhz3x&#10;Qoejfets8304Ow2nz/lh/TTXH/G43avNK/bb2l+1vr9bXp5BRLvEPxh+9VkdKnaq/ZlMEIMGlSUp&#10;oxqydA2CgVypDETNpMpTkFUp/79Q/QAAAP//AwBQSwECLQAUAAYACAAAACEAtoM4kv4AAADhAQAA&#10;EwAAAAAAAAAAAAAAAAAAAAAAW0NvbnRlbnRfVHlwZXNdLnhtbFBLAQItABQABgAIAAAAIQA4/SH/&#10;1gAAAJQBAAALAAAAAAAAAAAAAAAAAC8BAABfcmVscy8ucmVsc1BLAQItABQABgAIAAAAIQBFZVf5&#10;ggIAAA8FAAAOAAAAAAAAAAAAAAAAAC4CAABkcnMvZTJvRG9jLnhtbFBLAQItABQABgAIAAAAIQBS&#10;kCh53gAAAAoBAAAPAAAAAAAAAAAAAAAAANwEAABkcnMvZG93bnJldi54bWxQSwUGAAAAAAQABADz&#10;AAAA5wUAAAAA&#10;" stroked="f">
              <v:textbox>
                <w:txbxContent>
                  <w:p w:rsidR="003A0E55" w:rsidRDefault="003A0E55"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D53623">
                      <w:rPr>
                        <w:rFonts w:ascii="Times New Roman" w:hAnsi="Times New Roman"/>
                        <w:b/>
                        <w:sz w:val="28"/>
                        <w:szCs w:val="28"/>
                        <w:lang w:val="es-ES" w:eastAsia="es-ES"/>
                      </w:rPr>
                      <w:t>106-</w:t>
                    </w:r>
                    <w:r>
                      <w:rPr>
                        <w:rFonts w:ascii="Times New Roman" w:hAnsi="Times New Roman"/>
                        <w:b/>
                        <w:sz w:val="28"/>
                        <w:szCs w:val="28"/>
                        <w:lang w:val="es-ES" w:eastAsia="es-ES"/>
                      </w:rPr>
                      <w:t>18</w:t>
                    </w:r>
                  </w:p>
                  <w:p w:rsidR="00744DED" w:rsidRDefault="00E81CAF"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 INF.</w:t>
                    </w:r>
                    <w:r w:rsidR="009C1BD7">
                      <w:rPr>
                        <w:rFonts w:ascii="Times New Roman" w:hAnsi="Times New Roman"/>
                        <w:b/>
                        <w:sz w:val="28"/>
                        <w:szCs w:val="28"/>
                        <w:lang w:val="es-ES" w:eastAsia="es-ES"/>
                      </w:rPr>
                      <w:t xml:space="preserve"> </w:t>
                    </w:r>
                    <w:r w:rsidR="000D2ABF">
                      <w:rPr>
                        <w:rFonts w:ascii="Times New Roman" w:hAnsi="Times New Roman"/>
                        <w:b/>
                        <w:sz w:val="28"/>
                        <w:szCs w:val="28"/>
                        <w:lang w:val="es-ES" w:eastAsia="es-ES"/>
                      </w:rPr>
                      <w:t>47-10 HOSPICIO DE HUÉRFANOS DE SJ</w:t>
                    </w:r>
                    <w:r w:rsidR="00D53623">
                      <w:rPr>
                        <w:rFonts w:ascii="Times New Roman" w:hAnsi="Times New Roman"/>
                        <w:b/>
                        <w:sz w:val="28"/>
                        <w:szCs w:val="28"/>
                        <w:lang w:val="es-ES" w:eastAsia="es-ES"/>
                      </w:rPr>
                      <w:t>.</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446C"/>
    <w:multiLevelType w:val="hybridMultilevel"/>
    <w:tmpl w:val="6800344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166F447B"/>
    <w:multiLevelType w:val="multilevel"/>
    <w:tmpl w:val="CDA84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3"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4AC1589"/>
    <w:multiLevelType w:val="hybridMultilevel"/>
    <w:tmpl w:val="32F42AE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43923E6"/>
    <w:multiLevelType w:val="hybridMultilevel"/>
    <w:tmpl w:val="C4F2187A"/>
    <w:lvl w:ilvl="0" w:tplc="140A0001">
      <w:start w:val="1"/>
      <w:numFmt w:val="bullet"/>
      <w:lvlText w:val=""/>
      <w:lvlJc w:val="left"/>
      <w:pPr>
        <w:ind w:left="578" w:hanging="360"/>
      </w:pPr>
      <w:rPr>
        <w:rFonts w:ascii="Symbol" w:hAnsi="Symbol" w:hint="default"/>
      </w:rPr>
    </w:lvl>
    <w:lvl w:ilvl="1" w:tplc="140A0003" w:tentative="1">
      <w:start w:val="1"/>
      <w:numFmt w:val="bullet"/>
      <w:lvlText w:val="o"/>
      <w:lvlJc w:val="left"/>
      <w:pPr>
        <w:ind w:left="1298" w:hanging="360"/>
      </w:pPr>
      <w:rPr>
        <w:rFonts w:ascii="Courier New" w:hAnsi="Courier New" w:cs="Courier New" w:hint="default"/>
      </w:rPr>
    </w:lvl>
    <w:lvl w:ilvl="2" w:tplc="140A0005" w:tentative="1">
      <w:start w:val="1"/>
      <w:numFmt w:val="bullet"/>
      <w:lvlText w:val=""/>
      <w:lvlJc w:val="left"/>
      <w:pPr>
        <w:ind w:left="2018" w:hanging="360"/>
      </w:pPr>
      <w:rPr>
        <w:rFonts w:ascii="Wingdings" w:hAnsi="Wingdings" w:hint="default"/>
      </w:rPr>
    </w:lvl>
    <w:lvl w:ilvl="3" w:tplc="140A0001" w:tentative="1">
      <w:start w:val="1"/>
      <w:numFmt w:val="bullet"/>
      <w:lvlText w:val=""/>
      <w:lvlJc w:val="left"/>
      <w:pPr>
        <w:ind w:left="2738" w:hanging="360"/>
      </w:pPr>
      <w:rPr>
        <w:rFonts w:ascii="Symbol" w:hAnsi="Symbol" w:hint="default"/>
      </w:rPr>
    </w:lvl>
    <w:lvl w:ilvl="4" w:tplc="140A0003" w:tentative="1">
      <w:start w:val="1"/>
      <w:numFmt w:val="bullet"/>
      <w:lvlText w:val="o"/>
      <w:lvlJc w:val="left"/>
      <w:pPr>
        <w:ind w:left="3458" w:hanging="360"/>
      </w:pPr>
      <w:rPr>
        <w:rFonts w:ascii="Courier New" w:hAnsi="Courier New" w:cs="Courier New" w:hint="default"/>
      </w:rPr>
    </w:lvl>
    <w:lvl w:ilvl="5" w:tplc="140A0005" w:tentative="1">
      <w:start w:val="1"/>
      <w:numFmt w:val="bullet"/>
      <w:lvlText w:val=""/>
      <w:lvlJc w:val="left"/>
      <w:pPr>
        <w:ind w:left="4178" w:hanging="360"/>
      </w:pPr>
      <w:rPr>
        <w:rFonts w:ascii="Wingdings" w:hAnsi="Wingdings" w:hint="default"/>
      </w:rPr>
    </w:lvl>
    <w:lvl w:ilvl="6" w:tplc="140A0001" w:tentative="1">
      <w:start w:val="1"/>
      <w:numFmt w:val="bullet"/>
      <w:lvlText w:val=""/>
      <w:lvlJc w:val="left"/>
      <w:pPr>
        <w:ind w:left="4898" w:hanging="360"/>
      </w:pPr>
      <w:rPr>
        <w:rFonts w:ascii="Symbol" w:hAnsi="Symbol" w:hint="default"/>
      </w:rPr>
    </w:lvl>
    <w:lvl w:ilvl="7" w:tplc="140A0003" w:tentative="1">
      <w:start w:val="1"/>
      <w:numFmt w:val="bullet"/>
      <w:lvlText w:val="o"/>
      <w:lvlJc w:val="left"/>
      <w:pPr>
        <w:ind w:left="5618" w:hanging="360"/>
      </w:pPr>
      <w:rPr>
        <w:rFonts w:ascii="Courier New" w:hAnsi="Courier New" w:cs="Courier New" w:hint="default"/>
      </w:rPr>
    </w:lvl>
    <w:lvl w:ilvl="8" w:tplc="140A0005" w:tentative="1">
      <w:start w:val="1"/>
      <w:numFmt w:val="bullet"/>
      <w:lvlText w:val=""/>
      <w:lvlJc w:val="left"/>
      <w:pPr>
        <w:ind w:left="6338"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B36"/>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2ABF"/>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116A"/>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120"/>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419"/>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0F9"/>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1C0F"/>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A1E"/>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C53"/>
    <w:rsid w:val="00275EB2"/>
    <w:rsid w:val="00276684"/>
    <w:rsid w:val="002766BB"/>
    <w:rsid w:val="002774B3"/>
    <w:rsid w:val="00277713"/>
    <w:rsid w:val="00277F0B"/>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19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379A4"/>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3D8"/>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40E"/>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38B"/>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72B"/>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5CDD"/>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84E"/>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5F5A"/>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3D77"/>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5D"/>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4DED"/>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D29"/>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5787"/>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4"/>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2F45"/>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374E9"/>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AAB"/>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3EE"/>
    <w:rsid w:val="009B6956"/>
    <w:rsid w:val="009B73FB"/>
    <w:rsid w:val="009B7568"/>
    <w:rsid w:val="009B756E"/>
    <w:rsid w:val="009B76C2"/>
    <w:rsid w:val="009B775E"/>
    <w:rsid w:val="009C02D5"/>
    <w:rsid w:val="009C0BE8"/>
    <w:rsid w:val="009C1550"/>
    <w:rsid w:val="009C1BD7"/>
    <w:rsid w:val="009C1DEC"/>
    <w:rsid w:val="009C25F0"/>
    <w:rsid w:val="009C32A9"/>
    <w:rsid w:val="009C3696"/>
    <w:rsid w:val="009C37C6"/>
    <w:rsid w:val="009C4B17"/>
    <w:rsid w:val="009C4DC5"/>
    <w:rsid w:val="009C4DF9"/>
    <w:rsid w:val="009C4FB9"/>
    <w:rsid w:val="009C518A"/>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A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5FB"/>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A7E4E"/>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8E3"/>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AD2"/>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485"/>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8C"/>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25"/>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623"/>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AFE"/>
    <w:rsid w:val="00E77FA3"/>
    <w:rsid w:val="00E800F4"/>
    <w:rsid w:val="00E80123"/>
    <w:rsid w:val="00E808C2"/>
    <w:rsid w:val="00E80E04"/>
    <w:rsid w:val="00E80F9C"/>
    <w:rsid w:val="00E81201"/>
    <w:rsid w:val="00E81914"/>
    <w:rsid w:val="00E81956"/>
    <w:rsid w:val="00E81C4C"/>
    <w:rsid w:val="00E81CAF"/>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56EF"/>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0EA7"/>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158"/>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1049"/>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291"/>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C4BB45-38E1-4DA0-A780-63F59528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uiPriority w:val="9"/>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4743D8"/>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2"/>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 w:type="table" w:customStyle="1" w:styleId="Tabladecuadrcula4-nfasis11">
    <w:name w:val="Tabla de cuadrícula 4 - Énfasis 11"/>
    <w:basedOn w:val="Tablanormal"/>
    <w:uiPriority w:val="49"/>
    <w:rsid w:val="000D2ABF"/>
    <w:pPr>
      <w:spacing w:after="0" w:line="240" w:lineRule="auto"/>
    </w:pPr>
    <w:rPr>
      <w:rFonts w:ascii="Times New Roman" w:eastAsia="SimSun" w:hAnsi="Times New Roman" w:cs="Times New Roman"/>
      <w:sz w:val="20"/>
      <w:szCs w:val="20"/>
      <w:lang w:eastAsia="es-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DD96F-1188-456C-8044-C91D9870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4290</Words>
  <Characters>23598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27833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3</cp:revision>
  <cp:lastPrinted>2016-05-16T14:14:00Z</cp:lastPrinted>
  <dcterms:created xsi:type="dcterms:W3CDTF">2019-01-07T20:12:00Z</dcterms:created>
  <dcterms:modified xsi:type="dcterms:W3CDTF">2019-01-07T20:15:00Z</dcterms:modified>
</cp:coreProperties>
</file>