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668" w:rsidRPr="00445511" w:rsidRDefault="002C1668" w:rsidP="00DD5342">
      <w:pPr>
        <w:pStyle w:val="TDC1"/>
        <w:rPr>
          <w:rStyle w:val="Hipervnculo"/>
          <w:b/>
          <w:color w:val="auto"/>
        </w:rPr>
      </w:pPr>
      <w:bookmarkStart w:id="0" w:name="_GoBack"/>
      <w:bookmarkEnd w:id="0"/>
    </w:p>
    <w:p w:rsidR="00C561FA" w:rsidRPr="00445511" w:rsidRDefault="008F5244" w:rsidP="00DD5342">
      <w:pPr>
        <w:pStyle w:val="TDC1"/>
        <w:rPr>
          <w:rStyle w:val="Hipervnculo"/>
          <w:b/>
          <w:color w:val="auto"/>
        </w:rPr>
      </w:pPr>
      <w:r w:rsidRPr="00445511">
        <w:rPr>
          <w:rStyle w:val="Hipervnculo"/>
          <w:b/>
          <w:color w:val="auto"/>
        </w:rPr>
        <w:t>TABLA DE CONTENIDOS</w:t>
      </w:r>
    </w:p>
    <w:sdt>
      <w:sdtPr>
        <w:id w:val="853158158"/>
        <w:docPartObj>
          <w:docPartGallery w:val="Table of Contents"/>
          <w:docPartUnique/>
        </w:docPartObj>
      </w:sdtPr>
      <w:sdtEndPr>
        <w:rPr>
          <w:b/>
          <w:bCs/>
        </w:rPr>
      </w:sdtEndPr>
      <w:sdtContent>
        <w:p w:rsidR="00795999" w:rsidRPr="00445511" w:rsidRDefault="00795999" w:rsidP="00DD5342"/>
        <w:p w:rsidR="0094682B" w:rsidRPr="00445511" w:rsidRDefault="00795999" w:rsidP="00DD5342">
          <w:pPr>
            <w:pStyle w:val="TDC2"/>
            <w:rPr>
              <w:rFonts w:eastAsiaTheme="minorEastAsia"/>
              <w:noProof/>
              <w:sz w:val="24"/>
              <w:szCs w:val="24"/>
            </w:rPr>
          </w:pPr>
          <w:r w:rsidRPr="00445511">
            <w:rPr>
              <w:sz w:val="24"/>
              <w:szCs w:val="24"/>
            </w:rPr>
            <w:fldChar w:fldCharType="begin"/>
          </w:r>
          <w:r w:rsidRPr="00445511">
            <w:rPr>
              <w:sz w:val="24"/>
              <w:szCs w:val="24"/>
            </w:rPr>
            <w:instrText xml:space="preserve"> TOC \o "1-3" \h \z \u </w:instrText>
          </w:r>
          <w:r w:rsidRPr="00445511">
            <w:rPr>
              <w:sz w:val="24"/>
              <w:szCs w:val="24"/>
            </w:rPr>
            <w:fldChar w:fldCharType="separate"/>
          </w:r>
          <w:hyperlink w:anchor="_Toc14267885" w:history="1">
            <w:r w:rsidR="0094682B" w:rsidRPr="00445511">
              <w:rPr>
                <w:rStyle w:val="Hipervnculo"/>
                <w:b/>
                <w:noProof/>
                <w:color w:val="auto"/>
                <w:sz w:val="24"/>
                <w:szCs w:val="24"/>
              </w:rPr>
              <w:t>RESUMEN EJECUTIVO</w:t>
            </w:r>
            <w:r w:rsidR="0094682B" w:rsidRPr="00445511">
              <w:rPr>
                <w:noProof/>
                <w:webHidden/>
                <w:sz w:val="24"/>
                <w:szCs w:val="24"/>
              </w:rPr>
              <w:tab/>
            </w:r>
            <w:r w:rsidR="0094682B" w:rsidRPr="00445511">
              <w:rPr>
                <w:noProof/>
                <w:webHidden/>
                <w:sz w:val="24"/>
                <w:szCs w:val="24"/>
              </w:rPr>
              <w:fldChar w:fldCharType="begin"/>
            </w:r>
            <w:r w:rsidR="0094682B" w:rsidRPr="00445511">
              <w:rPr>
                <w:noProof/>
                <w:webHidden/>
                <w:sz w:val="24"/>
                <w:szCs w:val="24"/>
              </w:rPr>
              <w:instrText xml:space="preserve"> PAGEREF _Toc14267885 \h </w:instrText>
            </w:r>
            <w:r w:rsidR="0094682B" w:rsidRPr="00445511">
              <w:rPr>
                <w:noProof/>
                <w:webHidden/>
                <w:sz w:val="24"/>
                <w:szCs w:val="24"/>
              </w:rPr>
            </w:r>
            <w:r w:rsidR="0094682B" w:rsidRPr="00445511">
              <w:rPr>
                <w:noProof/>
                <w:webHidden/>
                <w:sz w:val="24"/>
                <w:szCs w:val="24"/>
              </w:rPr>
              <w:fldChar w:fldCharType="separate"/>
            </w:r>
            <w:r w:rsidR="007B3D42">
              <w:rPr>
                <w:noProof/>
                <w:webHidden/>
                <w:sz w:val="24"/>
                <w:szCs w:val="24"/>
              </w:rPr>
              <w:t>2</w:t>
            </w:r>
            <w:r w:rsidR="0094682B" w:rsidRPr="00445511">
              <w:rPr>
                <w:noProof/>
                <w:webHidden/>
                <w:sz w:val="24"/>
                <w:szCs w:val="24"/>
              </w:rPr>
              <w:fldChar w:fldCharType="end"/>
            </w:r>
          </w:hyperlink>
        </w:p>
        <w:p w:rsidR="0094682B" w:rsidRPr="00445511" w:rsidRDefault="009118F6" w:rsidP="00DD5342">
          <w:pPr>
            <w:pStyle w:val="TDC2"/>
            <w:rPr>
              <w:rFonts w:eastAsiaTheme="minorEastAsia"/>
              <w:noProof/>
              <w:sz w:val="24"/>
              <w:szCs w:val="24"/>
            </w:rPr>
          </w:pPr>
          <w:hyperlink w:anchor="_Toc14267886" w:history="1">
            <w:r w:rsidR="0094682B" w:rsidRPr="00445511">
              <w:rPr>
                <w:rStyle w:val="Hipervnculo"/>
                <w:b/>
                <w:noProof/>
                <w:color w:val="auto"/>
                <w:sz w:val="24"/>
                <w:szCs w:val="24"/>
              </w:rPr>
              <w:t>1. INTRODUCCIÓN</w:t>
            </w:r>
            <w:r w:rsidR="0094682B" w:rsidRPr="00445511">
              <w:rPr>
                <w:noProof/>
                <w:webHidden/>
                <w:sz w:val="24"/>
                <w:szCs w:val="24"/>
              </w:rPr>
              <w:tab/>
            </w:r>
            <w:r w:rsidR="0094682B" w:rsidRPr="00445511">
              <w:rPr>
                <w:noProof/>
                <w:webHidden/>
                <w:sz w:val="24"/>
                <w:szCs w:val="24"/>
              </w:rPr>
              <w:fldChar w:fldCharType="begin"/>
            </w:r>
            <w:r w:rsidR="0094682B" w:rsidRPr="00445511">
              <w:rPr>
                <w:noProof/>
                <w:webHidden/>
                <w:sz w:val="24"/>
                <w:szCs w:val="24"/>
              </w:rPr>
              <w:instrText xml:space="preserve"> PAGEREF _Toc14267886 \h </w:instrText>
            </w:r>
            <w:r w:rsidR="0094682B" w:rsidRPr="00445511">
              <w:rPr>
                <w:noProof/>
                <w:webHidden/>
                <w:sz w:val="24"/>
                <w:szCs w:val="24"/>
              </w:rPr>
            </w:r>
            <w:r w:rsidR="0094682B" w:rsidRPr="00445511">
              <w:rPr>
                <w:noProof/>
                <w:webHidden/>
                <w:sz w:val="24"/>
                <w:szCs w:val="24"/>
              </w:rPr>
              <w:fldChar w:fldCharType="separate"/>
            </w:r>
            <w:r w:rsidR="007B3D42">
              <w:rPr>
                <w:noProof/>
                <w:webHidden/>
                <w:sz w:val="24"/>
                <w:szCs w:val="24"/>
              </w:rPr>
              <w:t>3</w:t>
            </w:r>
            <w:r w:rsidR="0094682B" w:rsidRPr="00445511">
              <w:rPr>
                <w:noProof/>
                <w:webHidden/>
                <w:sz w:val="24"/>
                <w:szCs w:val="24"/>
              </w:rPr>
              <w:fldChar w:fldCharType="end"/>
            </w:r>
          </w:hyperlink>
        </w:p>
        <w:p w:rsidR="0094682B" w:rsidRPr="00445511" w:rsidRDefault="009118F6" w:rsidP="00DD5342">
          <w:pPr>
            <w:pStyle w:val="TDC2"/>
            <w:rPr>
              <w:rFonts w:eastAsiaTheme="minorEastAsia"/>
              <w:noProof/>
              <w:sz w:val="24"/>
              <w:szCs w:val="24"/>
            </w:rPr>
          </w:pPr>
          <w:hyperlink w:anchor="_Toc14267887" w:history="1">
            <w:r w:rsidR="0094682B" w:rsidRPr="00445511">
              <w:rPr>
                <w:rStyle w:val="Hipervnculo"/>
                <w:noProof/>
                <w:color w:val="auto"/>
                <w:sz w:val="24"/>
                <w:szCs w:val="24"/>
              </w:rPr>
              <w:t xml:space="preserve">1.1 </w:t>
            </w:r>
            <w:r w:rsidR="0094682B" w:rsidRPr="00445511">
              <w:rPr>
                <w:rStyle w:val="Hipervnculo"/>
                <w:rFonts w:eastAsia="Calibri"/>
                <w:smallCaps w:val="0"/>
                <w:noProof/>
                <w:color w:val="auto"/>
                <w:sz w:val="24"/>
                <w:szCs w:val="24"/>
                <w:lang w:val="es-CR" w:eastAsia="en-US"/>
              </w:rPr>
              <w:t>Origen</w:t>
            </w:r>
            <w:r w:rsidR="0094682B" w:rsidRPr="00445511">
              <w:rPr>
                <w:noProof/>
                <w:webHidden/>
                <w:sz w:val="24"/>
                <w:szCs w:val="24"/>
              </w:rPr>
              <w:tab/>
            </w:r>
            <w:r w:rsidR="0094682B" w:rsidRPr="00445511">
              <w:rPr>
                <w:noProof/>
                <w:webHidden/>
                <w:sz w:val="24"/>
                <w:szCs w:val="24"/>
              </w:rPr>
              <w:fldChar w:fldCharType="begin"/>
            </w:r>
            <w:r w:rsidR="0094682B" w:rsidRPr="00445511">
              <w:rPr>
                <w:noProof/>
                <w:webHidden/>
                <w:sz w:val="24"/>
                <w:szCs w:val="24"/>
              </w:rPr>
              <w:instrText xml:space="preserve"> PAGEREF _Toc14267887 \h </w:instrText>
            </w:r>
            <w:r w:rsidR="0094682B" w:rsidRPr="00445511">
              <w:rPr>
                <w:noProof/>
                <w:webHidden/>
                <w:sz w:val="24"/>
                <w:szCs w:val="24"/>
              </w:rPr>
            </w:r>
            <w:r w:rsidR="0094682B" w:rsidRPr="00445511">
              <w:rPr>
                <w:noProof/>
                <w:webHidden/>
                <w:sz w:val="24"/>
                <w:szCs w:val="24"/>
              </w:rPr>
              <w:fldChar w:fldCharType="separate"/>
            </w:r>
            <w:r w:rsidR="007B3D42">
              <w:rPr>
                <w:noProof/>
                <w:webHidden/>
                <w:sz w:val="24"/>
                <w:szCs w:val="24"/>
              </w:rPr>
              <w:t>3</w:t>
            </w:r>
            <w:r w:rsidR="0094682B" w:rsidRPr="00445511">
              <w:rPr>
                <w:noProof/>
                <w:webHidden/>
                <w:sz w:val="24"/>
                <w:szCs w:val="24"/>
              </w:rPr>
              <w:fldChar w:fldCharType="end"/>
            </w:r>
          </w:hyperlink>
        </w:p>
        <w:p w:rsidR="0094682B" w:rsidRPr="00445511" w:rsidRDefault="009118F6" w:rsidP="00DD5342">
          <w:pPr>
            <w:pStyle w:val="TDC2"/>
            <w:rPr>
              <w:rFonts w:eastAsiaTheme="minorEastAsia"/>
              <w:noProof/>
              <w:sz w:val="24"/>
              <w:szCs w:val="24"/>
            </w:rPr>
          </w:pPr>
          <w:hyperlink w:anchor="_Toc14267888" w:history="1">
            <w:r w:rsidR="0094682B" w:rsidRPr="00445511">
              <w:rPr>
                <w:rStyle w:val="Hipervnculo"/>
                <w:noProof/>
                <w:color w:val="auto"/>
                <w:sz w:val="24"/>
                <w:szCs w:val="24"/>
              </w:rPr>
              <w:t xml:space="preserve">1.2 </w:t>
            </w:r>
            <w:r w:rsidR="0094682B" w:rsidRPr="00445511">
              <w:rPr>
                <w:rStyle w:val="Hipervnculo"/>
                <w:rFonts w:eastAsia="Calibri"/>
                <w:smallCaps w:val="0"/>
                <w:noProof/>
                <w:color w:val="auto"/>
                <w:sz w:val="24"/>
                <w:szCs w:val="24"/>
                <w:lang w:val="es-CR" w:eastAsia="en-US"/>
              </w:rPr>
              <w:t>Objetivo General</w:t>
            </w:r>
            <w:r w:rsidR="0094682B" w:rsidRPr="00445511">
              <w:rPr>
                <w:noProof/>
                <w:webHidden/>
                <w:sz w:val="24"/>
                <w:szCs w:val="24"/>
              </w:rPr>
              <w:tab/>
            </w:r>
            <w:r w:rsidR="0094682B" w:rsidRPr="00445511">
              <w:rPr>
                <w:noProof/>
                <w:webHidden/>
                <w:sz w:val="24"/>
                <w:szCs w:val="24"/>
              </w:rPr>
              <w:fldChar w:fldCharType="begin"/>
            </w:r>
            <w:r w:rsidR="0094682B" w:rsidRPr="00445511">
              <w:rPr>
                <w:noProof/>
                <w:webHidden/>
                <w:sz w:val="24"/>
                <w:szCs w:val="24"/>
              </w:rPr>
              <w:instrText xml:space="preserve"> PAGEREF _Toc14267888 \h </w:instrText>
            </w:r>
            <w:r w:rsidR="0094682B" w:rsidRPr="00445511">
              <w:rPr>
                <w:noProof/>
                <w:webHidden/>
                <w:sz w:val="24"/>
                <w:szCs w:val="24"/>
              </w:rPr>
            </w:r>
            <w:r w:rsidR="0094682B" w:rsidRPr="00445511">
              <w:rPr>
                <w:noProof/>
                <w:webHidden/>
                <w:sz w:val="24"/>
                <w:szCs w:val="24"/>
              </w:rPr>
              <w:fldChar w:fldCharType="separate"/>
            </w:r>
            <w:r w:rsidR="007B3D42">
              <w:rPr>
                <w:noProof/>
                <w:webHidden/>
                <w:sz w:val="24"/>
                <w:szCs w:val="24"/>
              </w:rPr>
              <w:t>3</w:t>
            </w:r>
            <w:r w:rsidR="0094682B" w:rsidRPr="00445511">
              <w:rPr>
                <w:noProof/>
                <w:webHidden/>
                <w:sz w:val="24"/>
                <w:szCs w:val="24"/>
              </w:rPr>
              <w:fldChar w:fldCharType="end"/>
            </w:r>
          </w:hyperlink>
        </w:p>
        <w:p w:rsidR="0094682B" w:rsidRPr="00445511" w:rsidRDefault="009118F6" w:rsidP="00DD5342">
          <w:pPr>
            <w:pStyle w:val="TDC3"/>
            <w:rPr>
              <w:rFonts w:ascii="Times New Roman" w:eastAsiaTheme="minorEastAsia" w:hAnsi="Times New Roman"/>
              <w:noProof/>
              <w:sz w:val="24"/>
              <w:szCs w:val="24"/>
              <w:lang w:val="es-ES" w:eastAsia="es-ES"/>
            </w:rPr>
          </w:pPr>
          <w:hyperlink w:anchor="_Toc14267889" w:history="1">
            <w:r w:rsidR="0094682B" w:rsidRPr="00445511">
              <w:rPr>
                <w:rStyle w:val="Hipervnculo"/>
                <w:rFonts w:ascii="Times New Roman" w:hAnsi="Times New Roman"/>
                <w:noProof/>
                <w:color w:val="auto"/>
                <w:sz w:val="24"/>
                <w:szCs w:val="24"/>
              </w:rPr>
              <w:t>1.3 Alcance</w:t>
            </w:r>
            <w:r w:rsidR="0094682B" w:rsidRPr="00445511">
              <w:rPr>
                <w:rFonts w:ascii="Times New Roman" w:hAnsi="Times New Roman"/>
                <w:noProof/>
                <w:webHidden/>
                <w:sz w:val="24"/>
                <w:szCs w:val="24"/>
              </w:rPr>
              <w:tab/>
            </w:r>
            <w:r w:rsidR="0094682B" w:rsidRPr="00445511">
              <w:rPr>
                <w:rFonts w:ascii="Times New Roman" w:hAnsi="Times New Roman"/>
                <w:noProof/>
                <w:webHidden/>
                <w:sz w:val="24"/>
                <w:szCs w:val="24"/>
              </w:rPr>
              <w:fldChar w:fldCharType="begin"/>
            </w:r>
            <w:r w:rsidR="0094682B" w:rsidRPr="00445511">
              <w:rPr>
                <w:rFonts w:ascii="Times New Roman" w:hAnsi="Times New Roman"/>
                <w:noProof/>
                <w:webHidden/>
                <w:sz w:val="24"/>
                <w:szCs w:val="24"/>
              </w:rPr>
              <w:instrText xml:space="preserve"> PAGEREF _Toc14267889 \h </w:instrText>
            </w:r>
            <w:r w:rsidR="0094682B" w:rsidRPr="00445511">
              <w:rPr>
                <w:rFonts w:ascii="Times New Roman" w:hAnsi="Times New Roman"/>
                <w:noProof/>
                <w:webHidden/>
                <w:sz w:val="24"/>
                <w:szCs w:val="24"/>
              </w:rPr>
            </w:r>
            <w:r w:rsidR="0094682B" w:rsidRPr="00445511">
              <w:rPr>
                <w:rFonts w:ascii="Times New Roman" w:hAnsi="Times New Roman"/>
                <w:noProof/>
                <w:webHidden/>
                <w:sz w:val="24"/>
                <w:szCs w:val="24"/>
              </w:rPr>
              <w:fldChar w:fldCharType="separate"/>
            </w:r>
            <w:r w:rsidR="007B3D42">
              <w:rPr>
                <w:rFonts w:ascii="Times New Roman" w:hAnsi="Times New Roman"/>
                <w:noProof/>
                <w:webHidden/>
                <w:sz w:val="24"/>
                <w:szCs w:val="24"/>
              </w:rPr>
              <w:t>3</w:t>
            </w:r>
            <w:r w:rsidR="0094682B" w:rsidRPr="00445511">
              <w:rPr>
                <w:rFonts w:ascii="Times New Roman" w:hAnsi="Times New Roman"/>
                <w:noProof/>
                <w:webHidden/>
                <w:sz w:val="24"/>
                <w:szCs w:val="24"/>
              </w:rPr>
              <w:fldChar w:fldCharType="end"/>
            </w:r>
          </w:hyperlink>
        </w:p>
        <w:p w:rsidR="0094682B" w:rsidRPr="00445511" w:rsidRDefault="00382740" w:rsidP="00DD5342">
          <w:pPr>
            <w:pStyle w:val="TDC3"/>
            <w:rPr>
              <w:rFonts w:ascii="Times New Roman" w:eastAsiaTheme="minorEastAsia" w:hAnsi="Times New Roman"/>
              <w:noProof/>
              <w:sz w:val="24"/>
              <w:szCs w:val="24"/>
              <w:lang w:val="es-ES" w:eastAsia="es-ES"/>
            </w:rPr>
          </w:pPr>
          <w:r w:rsidRPr="00445511">
            <w:rPr>
              <w:rStyle w:val="Hipervnculo"/>
              <w:rFonts w:ascii="Times New Roman" w:hAnsi="Times New Roman"/>
              <w:noProof/>
              <w:color w:val="auto"/>
              <w:sz w:val="24"/>
              <w:szCs w:val="24"/>
            </w:rPr>
            <w:tab/>
          </w:r>
          <w:hyperlink w:anchor="_Toc14267890" w:history="1">
            <w:r w:rsidR="0094682B" w:rsidRPr="00445511">
              <w:rPr>
                <w:rStyle w:val="Hipervnculo"/>
                <w:rFonts w:ascii="Times New Roman" w:hAnsi="Times New Roman"/>
                <w:noProof/>
                <w:color w:val="auto"/>
                <w:sz w:val="24"/>
                <w:szCs w:val="24"/>
              </w:rPr>
              <w:t>1.3.1 Normativa Aplicable</w:t>
            </w:r>
            <w:r w:rsidR="0094682B" w:rsidRPr="00445511">
              <w:rPr>
                <w:rFonts w:ascii="Times New Roman" w:hAnsi="Times New Roman"/>
                <w:noProof/>
                <w:webHidden/>
                <w:sz w:val="24"/>
                <w:szCs w:val="24"/>
              </w:rPr>
              <w:tab/>
            </w:r>
            <w:r w:rsidR="0094682B" w:rsidRPr="00445511">
              <w:rPr>
                <w:rFonts w:ascii="Times New Roman" w:hAnsi="Times New Roman"/>
                <w:noProof/>
                <w:webHidden/>
                <w:sz w:val="24"/>
                <w:szCs w:val="24"/>
              </w:rPr>
              <w:fldChar w:fldCharType="begin"/>
            </w:r>
            <w:r w:rsidR="0094682B" w:rsidRPr="00445511">
              <w:rPr>
                <w:rFonts w:ascii="Times New Roman" w:hAnsi="Times New Roman"/>
                <w:noProof/>
                <w:webHidden/>
                <w:sz w:val="24"/>
                <w:szCs w:val="24"/>
              </w:rPr>
              <w:instrText xml:space="preserve"> PAGEREF _Toc14267890 \h </w:instrText>
            </w:r>
            <w:r w:rsidR="0094682B" w:rsidRPr="00445511">
              <w:rPr>
                <w:rFonts w:ascii="Times New Roman" w:hAnsi="Times New Roman"/>
                <w:noProof/>
                <w:webHidden/>
                <w:sz w:val="24"/>
                <w:szCs w:val="24"/>
              </w:rPr>
            </w:r>
            <w:r w:rsidR="0094682B" w:rsidRPr="00445511">
              <w:rPr>
                <w:rFonts w:ascii="Times New Roman" w:hAnsi="Times New Roman"/>
                <w:noProof/>
                <w:webHidden/>
                <w:sz w:val="24"/>
                <w:szCs w:val="24"/>
              </w:rPr>
              <w:fldChar w:fldCharType="separate"/>
            </w:r>
            <w:r w:rsidR="007B3D42">
              <w:rPr>
                <w:rFonts w:ascii="Times New Roman" w:hAnsi="Times New Roman"/>
                <w:noProof/>
                <w:webHidden/>
                <w:sz w:val="24"/>
                <w:szCs w:val="24"/>
              </w:rPr>
              <w:t>3</w:t>
            </w:r>
            <w:r w:rsidR="0094682B" w:rsidRPr="00445511">
              <w:rPr>
                <w:rFonts w:ascii="Times New Roman" w:hAnsi="Times New Roman"/>
                <w:noProof/>
                <w:webHidden/>
                <w:sz w:val="24"/>
                <w:szCs w:val="24"/>
              </w:rPr>
              <w:fldChar w:fldCharType="end"/>
            </w:r>
          </w:hyperlink>
        </w:p>
        <w:p w:rsidR="0094682B" w:rsidRPr="00445511" w:rsidRDefault="009118F6" w:rsidP="00DD5342">
          <w:pPr>
            <w:pStyle w:val="TDC1"/>
            <w:rPr>
              <w:rFonts w:eastAsiaTheme="minorEastAsia"/>
              <w:lang w:val="es-ES" w:eastAsia="es-ES"/>
            </w:rPr>
          </w:pPr>
          <w:hyperlink w:anchor="_Toc14267891" w:history="1">
            <w:r w:rsidR="0094682B" w:rsidRPr="00445511">
              <w:rPr>
                <w:rStyle w:val="Hipervnculo"/>
                <w:color w:val="auto"/>
              </w:rPr>
              <w:t>1.3.2 Fuentes de criterio</w:t>
            </w:r>
            <w:r w:rsidR="0094682B" w:rsidRPr="00445511">
              <w:rPr>
                <w:webHidden/>
              </w:rPr>
              <w:tab/>
            </w:r>
            <w:r w:rsidR="0094682B" w:rsidRPr="00445511">
              <w:rPr>
                <w:webHidden/>
              </w:rPr>
              <w:fldChar w:fldCharType="begin"/>
            </w:r>
            <w:r w:rsidR="0094682B" w:rsidRPr="00445511">
              <w:rPr>
                <w:webHidden/>
              </w:rPr>
              <w:instrText xml:space="preserve"> PAGEREF _Toc14267891 \h </w:instrText>
            </w:r>
            <w:r w:rsidR="0094682B" w:rsidRPr="00445511">
              <w:rPr>
                <w:webHidden/>
              </w:rPr>
            </w:r>
            <w:r w:rsidR="0094682B" w:rsidRPr="00445511">
              <w:rPr>
                <w:webHidden/>
              </w:rPr>
              <w:fldChar w:fldCharType="separate"/>
            </w:r>
            <w:r w:rsidR="007B3D42">
              <w:rPr>
                <w:webHidden/>
              </w:rPr>
              <w:t>3</w:t>
            </w:r>
            <w:r w:rsidR="0094682B" w:rsidRPr="00445511">
              <w:rPr>
                <w:webHidden/>
              </w:rPr>
              <w:fldChar w:fldCharType="end"/>
            </w:r>
          </w:hyperlink>
        </w:p>
        <w:p w:rsidR="0094682B" w:rsidRPr="00445511" w:rsidRDefault="00676B2D" w:rsidP="00DD5342">
          <w:pPr>
            <w:pStyle w:val="TDC3"/>
            <w:rPr>
              <w:rFonts w:ascii="Times New Roman" w:eastAsiaTheme="minorEastAsia" w:hAnsi="Times New Roman"/>
              <w:noProof/>
              <w:sz w:val="24"/>
              <w:szCs w:val="24"/>
              <w:lang w:val="es-ES" w:eastAsia="es-ES"/>
            </w:rPr>
          </w:pPr>
          <w:r w:rsidRPr="00445511">
            <w:rPr>
              <w:rStyle w:val="Hipervnculo"/>
              <w:rFonts w:ascii="Times New Roman" w:hAnsi="Times New Roman"/>
              <w:noProof/>
              <w:color w:val="auto"/>
              <w:sz w:val="24"/>
              <w:szCs w:val="24"/>
            </w:rPr>
            <w:tab/>
          </w:r>
          <w:hyperlink w:anchor="_Toc14267892" w:history="1">
            <w:r w:rsidR="0094682B" w:rsidRPr="00445511">
              <w:rPr>
                <w:rStyle w:val="Hipervnculo"/>
                <w:rFonts w:ascii="Times New Roman" w:hAnsi="Times New Roman"/>
                <w:noProof/>
                <w:color w:val="auto"/>
                <w:sz w:val="24"/>
                <w:szCs w:val="24"/>
              </w:rPr>
              <w:t>1.3.3 Antecedentes</w:t>
            </w:r>
            <w:r w:rsidR="0094682B" w:rsidRPr="00445511">
              <w:rPr>
                <w:rFonts w:ascii="Times New Roman" w:hAnsi="Times New Roman"/>
                <w:noProof/>
                <w:webHidden/>
                <w:sz w:val="24"/>
                <w:szCs w:val="24"/>
              </w:rPr>
              <w:tab/>
            </w:r>
            <w:r w:rsidR="0094682B" w:rsidRPr="00445511">
              <w:rPr>
                <w:rFonts w:ascii="Times New Roman" w:hAnsi="Times New Roman"/>
                <w:noProof/>
                <w:webHidden/>
                <w:sz w:val="24"/>
                <w:szCs w:val="24"/>
              </w:rPr>
              <w:fldChar w:fldCharType="begin"/>
            </w:r>
            <w:r w:rsidR="0094682B" w:rsidRPr="00445511">
              <w:rPr>
                <w:rFonts w:ascii="Times New Roman" w:hAnsi="Times New Roman"/>
                <w:noProof/>
                <w:webHidden/>
                <w:sz w:val="24"/>
                <w:szCs w:val="24"/>
              </w:rPr>
              <w:instrText xml:space="preserve"> PAGEREF _Toc14267892 \h </w:instrText>
            </w:r>
            <w:r w:rsidR="0094682B" w:rsidRPr="00445511">
              <w:rPr>
                <w:rFonts w:ascii="Times New Roman" w:hAnsi="Times New Roman"/>
                <w:noProof/>
                <w:webHidden/>
                <w:sz w:val="24"/>
                <w:szCs w:val="24"/>
              </w:rPr>
            </w:r>
            <w:r w:rsidR="0094682B" w:rsidRPr="00445511">
              <w:rPr>
                <w:rFonts w:ascii="Times New Roman" w:hAnsi="Times New Roman"/>
                <w:noProof/>
                <w:webHidden/>
                <w:sz w:val="24"/>
                <w:szCs w:val="24"/>
              </w:rPr>
              <w:fldChar w:fldCharType="separate"/>
            </w:r>
            <w:r w:rsidR="007B3D42">
              <w:rPr>
                <w:rFonts w:ascii="Times New Roman" w:hAnsi="Times New Roman"/>
                <w:noProof/>
                <w:webHidden/>
                <w:sz w:val="24"/>
                <w:szCs w:val="24"/>
              </w:rPr>
              <w:t>3</w:t>
            </w:r>
            <w:r w:rsidR="0094682B" w:rsidRPr="00445511">
              <w:rPr>
                <w:rFonts w:ascii="Times New Roman" w:hAnsi="Times New Roman"/>
                <w:noProof/>
                <w:webHidden/>
                <w:sz w:val="24"/>
                <w:szCs w:val="24"/>
              </w:rPr>
              <w:fldChar w:fldCharType="end"/>
            </w:r>
          </w:hyperlink>
        </w:p>
        <w:p w:rsidR="0094682B" w:rsidRPr="00445511" w:rsidRDefault="009118F6" w:rsidP="00DD5342">
          <w:pPr>
            <w:pStyle w:val="TDC3"/>
            <w:rPr>
              <w:rFonts w:ascii="Times New Roman" w:hAnsi="Times New Roman"/>
              <w:noProof/>
              <w:sz w:val="24"/>
              <w:szCs w:val="24"/>
            </w:rPr>
          </w:pPr>
          <w:hyperlink w:anchor="_Toc14267893" w:history="1">
            <w:r w:rsidR="0094682B" w:rsidRPr="00445511">
              <w:rPr>
                <w:rStyle w:val="Hipervnculo"/>
                <w:rFonts w:ascii="Times New Roman" w:hAnsi="Times New Roman"/>
                <w:noProof/>
                <w:color w:val="auto"/>
                <w:sz w:val="24"/>
                <w:szCs w:val="24"/>
              </w:rPr>
              <w:t>1.4</w:t>
            </w:r>
            <w:r w:rsidR="0094682B" w:rsidRPr="00445511">
              <w:rPr>
                <w:rFonts w:ascii="Times New Roman" w:eastAsiaTheme="minorEastAsia" w:hAnsi="Times New Roman"/>
                <w:noProof/>
                <w:sz w:val="24"/>
                <w:szCs w:val="24"/>
                <w:lang w:val="es-ES" w:eastAsia="es-ES"/>
              </w:rPr>
              <w:tab/>
            </w:r>
            <w:r w:rsidR="0094682B" w:rsidRPr="00445511">
              <w:rPr>
                <w:rStyle w:val="Hipervnculo"/>
                <w:rFonts w:ascii="Times New Roman" w:hAnsi="Times New Roman"/>
                <w:noProof/>
                <w:color w:val="auto"/>
                <w:sz w:val="24"/>
                <w:szCs w:val="24"/>
              </w:rPr>
              <w:t>Limitaciones</w:t>
            </w:r>
            <w:r w:rsidR="0094682B" w:rsidRPr="00445511">
              <w:rPr>
                <w:rFonts w:ascii="Times New Roman" w:hAnsi="Times New Roman"/>
                <w:noProof/>
                <w:webHidden/>
                <w:sz w:val="24"/>
                <w:szCs w:val="24"/>
              </w:rPr>
              <w:tab/>
            </w:r>
            <w:r w:rsidR="004A212E">
              <w:rPr>
                <w:rFonts w:ascii="Times New Roman" w:hAnsi="Times New Roman"/>
                <w:noProof/>
                <w:webHidden/>
                <w:sz w:val="24"/>
                <w:szCs w:val="24"/>
              </w:rPr>
              <w:t>4</w:t>
            </w:r>
          </w:hyperlink>
        </w:p>
        <w:p w:rsidR="001007AE" w:rsidRPr="00445511" w:rsidRDefault="001007AE" w:rsidP="00DD5342">
          <w:pPr>
            <w:rPr>
              <w:rFonts w:eastAsiaTheme="minorEastAsia"/>
              <w:noProof/>
              <w:lang w:val="es-CR" w:eastAsia="en-US"/>
            </w:rPr>
          </w:pPr>
        </w:p>
        <w:p w:rsidR="004A212E" w:rsidRPr="004A212E" w:rsidRDefault="009118F6" w:rsidP="004A212E">
          <w:pPr>
            <w:pStyle w:val="TDC2"/>
            <w:rPr>
              <w:noProof/>
              <w:sz w:val="24"/>
              <w:szCs w:val="24"/>
            </w:rPr>
          </w:pPr>
          <w:hyperlink w:anchor="_Toc14267894" w:history="1">
            <w:r w:rsidR="0094682B" w:rsidRPr="00445511">
              <w:rPr>
                <w:rStyle w:val="Hipervnculo"/>
                <w:b/>
                <w:noProof/>
                <w:color w:val="auto"/>
                <w:sz w:val="24"/>
                <w:szCs w:val="24"/>
              </w:rPr>
              <w:t>2. HALLAZGOS</w:t>
            </w:r>
            <w:r w:rsidR="0094682B" w:rsidRPr="00445511">
              <w:rPr>
                <w:noProof/>
                <w:webHidden/>
                <w:sz w:val="24"/>
                <w:szCs w:val="24"/>
              </w:rPr>
              <w:tab/>
            </w:r>
            <w:r w:rsidR="004A212E">
              <w:rPr>
                <w:noProof/>
                <w:webHidden/>
                <w:sz w:val="24"/>
                <w:szCs w:val="24"/>
              </w:rPr>
              <w:t>4</w:t>
            </w:r>
          </w:hyperlink>
        </w:p>
        <w:p w:rsidR="004A212E" w:rsidRDefault="009118F6" w:rsidP="004A212E">
          <w:pPr>
            <w:pStyle w:val="TDC2"/>
            <w:rPr>
              <w:noProof/>
              <w:sz w:val="24"/>
              <w:szCs w:val="24"/>
            </w:rPr>
          </w:pPr>
          <w:hyperlink w:anchor="_Toc14267894" w:history="1">
            <w:r w:rsidR="004A212E" w:rsidRPr="004A212E">
              <w:rPr>
                <w:rStyle w:val="Hipervnculo"/>
                <w:rFonts w:eastAsia="Calibri"/>
                <w:smallCaps w:val="0"/>
                <w:noProof/>
                <w:color w:val="auto"/>
                <w:sz w:val="24"/>
                <w:szCs w:val="24"/>
                <w:lang w:val="es-CR" w:eastAsia="en-US"/>
              </w:rPr>
              <w:t>2.1 Manual de Procedimientos</w:t>
            </w:r>
            <w:r w:rsidR="004A212E" w:rsidRPr="00445511">
              <w:rPr>
                <w:noProof/>
                <w:webHidden/>
                <w:sz w:val="24"/>
                <w:szCs w:val="24"/>
              </w:rPr>
              <w:tab/>
            </w:r>
            <w:r w:rsidR="004A212E">
              <w:rPr>
                <w:noProof/>
                <w:webHidden/>
                <w:sz w:val="24"/>
                <w:szCs w:val="24"/>
              </w:rPr>
              <w:t>4</w:t>
            </w:r>
          </w:hyperlink>
        </w:p>
        <w:p w:rsidR="004A212E" w:rsidRDefault="009118F6" w:rsidP="004A212E">
          <w:pPr>
            <w:pStyle w:val="TDC2"/>
            <w:rPr>
              <w:noProof/>
              <w:sz w:val="24"/>
              <w:szCs w:val="24"/>
            </w:rPr>
          </w:pPr>
          <w:hyperlink w:anchor="_Toc14267894" w:history="1">
            <w:r w:rsidR="004A212E" w:rsidRPr="004A212E">
              <w:rPr>
                <w:rStyle w:val="Hipervnculo"/>
                <w:rFonts w:eastAsia="Calibri"/>
                <w:smallCaps w:val="0"/>
                <w:noProof/>
                <w:color w:val="auto"/>
                <w:sz w:val="24"/>
                <w:szCs w:val="24"/>
                <w:lang w:val="es-CR" w:eastAsia="en-US"/>
              </w:rPr>
              <w:t>2.</w:t>
            </w:r>
            <w:r w:rsidR="004A212E">
              <w:rPr>
                <w:rStyle w:val="Hipervnculo"/>
                <w:rFonts w:eastAsia="Calibri"/>
                <w:smallCaps w:val="0"/>
                <w:noProof/>
                <w:color w:val="auto"/>
                <w:sz w:val="24"/>
                <w:szCs w:val="24"/>
                <w:lang w:val="es-CR" w:eastAsia="en-US"/>
              </w:rPr>
              <w:t>2 Evaluación de Riesgos</w:t>
            </w:r>
            <w:r w:rsidR="004A212E" w:rsidRPr="00445511">
              <w:rPr>
                <w:noProof/>
                <w:webHidden/>
                <w:sz w:val="24"/>
                <w:szCs w:val="24"/>
              </w:rPr>
              <w:tab/>
            </w:r>
            <w:r w:rsidR="004A212E">
              <w:rPr>
                <w:noProof/>
                <w:webHidden/>
                <w:sz w:val="24"/>
                <w:szCs w:val="24"/>
              </w:rPr>
              <w:t>5</w:t>
            </w:r>
          </w:hyperlink>
        </w:p>
        <w:p w:rsidR="004A212E" w:rsidRDefault="009118F6" w:rsidP="004A212E">
          <w:pPr>
            <w:pStyle w:val="TDC2"/>
            <w:rPr>
              <w:noProof/>
              <w:sz w:val="24"/>
              <w:szCs w:val="24"/>
            </w:rPr>
          </w:pPr>
          <w:hyperlink w:anchor="_Toc14267894" w:history="1">
            <w:r w:rsidR="004A212E" w:rsidRPr="004A212E">
              <w:rPr>
                <w:rStyle w:val="Hipervnculo"/>
                <w:rFonts w:eastAsia="Calibri"/>
                <w:smallCaps w:val="0"/>
                <w:noProof/>
                <w:color w:val="auto"/>
                <w:sz w:val="24"/>
                <w:szCs w:val="24"/>
                <w:lang w:val="es-CR" w:eastAsia="en-US"/>
              </w:rPr>
              <w:t>2.</w:t>
            </w:r>
            <w:r w:rsidR="005E32AE">
              <w:rPr>
                <w:rStyle w:val="Hipervnculo"/>
                <w:rFonts w:eastAsia="Calibri"/>
                <w:smallCaps w:val="0"/>
                <w:noProof/>
                <w:color w:val="auto"/>
                <w:sz w:val="24"/>
                <w:szCs w:val="24"/>
                <w:lang w:val="es-CR" w:eastAsia="en-US"/>
              </w:rPr>
              <w:t>3</w:t>
            </w:r>
            <w:r w:rsidR="004A212E">
              <w:rPr>
                <w:rStyle w:val="Hipervnculo"/>
                <w:rFonts w:eastAsia="Calibri"/>
                <w:smallCaps w:val="0"/>
                <w:noProof/>
                <w:color w:val="auto"/>
                <w:sz w:val="24"/>
                <w:szCs w:val="24"/>
                <w:lang w:val="es-CR" w:eastAsia="en-US"/>
              </w:rPr>
              <w:t xml:space="preserve"> Archivo Digital</w:t>
            </w:r>
            <w:r w:rsidR="004A212E" w:rsidRPr="00445511">
              <w:rPr>
                <w:noProof/>
                <w:webHidden/>
                <w:sz w:val="24"/>
                <w:szCs w:val="24"/>
              </w:rPr>
              <w:tab/>
            </w:r>
            <w:r w:rsidR="006C6D06">
              <w:rPr>
                <w:noProof/>
                <w:webHidden/>
                <w:sz w:val="24"/>
                <w:szCs w:val="24"/>
              </w:rPr>
              <w:t>5</w:t>
            </w:r>
          </w:hyperlink>
        </w:p>
        <w:p w:rsidR="004A212E" w:rsidRPr="004A212E" w:rsidRDefault="004A212E" w:rsidP="004A212E">
          <w:pPr>
            <w:rPr>
              <w:lang w:eastAsia="es-ES"/>
            </w:rPr>
          </w:pPr>
        </w:p>
        <w:p w:rsidR="001007AE" w:rsidRPr="00445511" w:rsidRDefault="001007AE" w:rsidP="00DD5342">
          <w:pPr>
            <w:rPr>
              <w:rFonts w:eastAsiaTheme="minorEastAsia"/>
              <w:noProof/>
              <w:lang w:eastAsia="es-ES"/>
            </w:rPr>
          </w:pPr>
        </w:p>
        <w:p w:rsidR="0094682B" w:rsidRPr="00445511" w:rsidRDefault="009118F6" w:rsidP="00DD5342">
          <w:pPr>
            <w:pStyle w:val="TDC2"/>
            <w:rPr>
              <w:noProof/>
              <w:sz w:val="24"/>
              <w:szCs w:val="24"/>
            </w:rPr>
          </w:pPr>
          <w:hyperlink w:anchor="_Toc14267895" w:history="1">
            <w:r w:rsidR="0094682B" w:rsidRPr="00445511">
              <w:rPr>
                <w:rStyle w:val="Hipervnculo"/>
                <w:b/>
                <w:noProof/>
                <w:color w:val="auto"/>
                <w:sz w:val="24"/>
                <w:szCs w:val="24"/>
              </w:rPr>
              <w:t>3. CONCLUSIONES</w:t>
            </w:r>
            <w:r w:rsidR="0094682B" w:rsidRPr="00445511">
              <w:rPr>
                <w:noProof/>
                <w:webHidden/>
                <w:sz w:val="24"/>
                <w:szCs w:val="24"/>
              </w:rPr>
              <w:tab/>
            </w:r>
            <w:r w:rsidR="006C6D06">
              <w:rPr>
                <w:noProof/>
                <w:webHidden/>
                <w:sz w:val="24"/>
                <w:szCs w:val="24"/>
              </w:rPr>
              <w:t>7</w:t>
            </w:r>
          </w:hyperlink>
        </w:p>
        <w:p w:rsidR="001007AE" w:rsidRPr="00445511" w:rsidRDefault="001007AE" w:rsidP="00DD5342">
          <w:pPr>
            <w:rPr>
              <w:rFonts w:eastAsiaTheme="minorEastAsia"/>
              <w:noProof/>
              <w:lang w:eastAsia="es-ES"/>
            </w:rPr>
          </w:pPr>
        </w:p>
        <w:p w:rsidR="0094682B" w:rsidRPr="00445511" w:rsidRDefault="009118F6" w:rsidP="00DD5342">
          <w:pPr>
            <w:pStyle w:val="TDC2"/>
            <w:rPr>
              <w:noProof/>
              <w:sz w:val="24"/>
              <w:szCs w:val="24"/>
            </w:rPr>
          </w:pPr>
          <w:hyperlink w:anchor="_Toc14267896" w:history="1">
            <w:r w:rsidR="0094682B" w:rsidRPr="00445511">
              <w:rPr>
                <w:rStyle w:val="Hipervnculo"/>
                <w:b/>
                <w:noProof/>
                <w:color w:val="auto"/>
                <w:sz w:val="24"/>
                <w:szCs w:val="24"/>
              </w:rPr>
              <w:t>4. RECOMENDACIONES</w:t>
            </w:r>
            <w:r w:rsidR="0094682B" w:rsidRPr="00445511">
              <w:rPr>
                <w:noProof/>
                <w:webHidden/>
                <w:sz w:val="24"/>
                <w:szCs w:val="24"/>
              </w:rPr>
              <w:tab/>
            </w:r>
            <w:r w:rsidR="006C6D06">
              <w:rPr>
                <w:noProof/>
                <w:webHidden/>
                <w:sz w:val="24"/>
                <w:szCs w:val="24"/>
              </w:rPr>
              <w:t>8</w:t>
            </w:r>
          </w:hyperlink>
        </w:p>
        <w:p w:rsidR="001007AE" w:rsidRPr="00445511" w:rsidRDefault="001007AE" w:rsidP="00DD5342">
          <w:pPr>
            <w:rPr>
              <w:rFonts w:eastAsiaTheme="minorEastAsia"/>
              <w:noProof/>
              <w:lang w:eastAsia="es-ES"/>
            </w:rPr>
          </w:pPr>
        </w:p>
        <w:p w:rsidR="0094682B" w:rsidRPr="00445511" w:rsidRDefault="009118F6" w:rsidP="00DD5342">
          <w:pPr>
            <w:pStyle w:val="TDC2"/>
            <w:rPr>
              <w:rFonts w:eastAsiaTheme="minorEastAsia"/>
              <w:noProof/>
              <w:sz w:val="24"/>
              <w:szCs w:val="24"/>
            </w:rPr>
          </w:pPr>
          <w:hyperlink w:anchor="_Toc14267897" w:history="1">
            <w:r w:rsidR="0094682B" w:rsidRPr="00445511">
              <w:rPr>
                <w:rStyle w:val="Hipervnculo"/>
                <w:b/>
                <w:noProof/>
                <w:color w:val="auto"/>
                <w:sz w:val="24"/>
                <w:szCs w:val="24"/>
              </w:rPr>
              <w:t>5. PUNTOS ESPECÍFICOS</w:t>
            </w:r>
            <w:r w:rsidR="0094682B" w:rsidRPr="00445511">
              <w:rPr>
                <w:noProof/>
                <w:webHidden/>
                <w:sz w:val="24"/>
                <w:szCs w:val="24"/>
              </w:rPr>
              <w:tab/>
            </w:r>
            <w:r w:rsidR="006C6D06">
              <w:rPr>
                <w:noProof/>
                <w:webHidden/>
                <w:sz w:val="24"/>
                <w:szCs w:val="24"/>
              </w:rPr>
              <w:t>8</w:t>
            </w:r>
          </w:hyperlink>
        </w:p>
        <w:p w:rsidR="0094682B" w:rsidRPr="00445511" w:rsidRDefault="009118F6" w:rsidP="00DD5342">
          <w:pPr>
            <w:pStyle w:val="TDC3"/>
            <w:tabs>
              <w:tab w:val="clear" w:pos="567"/>
              <w:tab w:val="left" w:pos="284"/>
            </w:tabs>
            <w:rPr>
              <w:rFonts w:ascii="Times New Roman" w:eastAsiaTheme="minorEastAsia" w:hAnsi="Times New Roman"/>
              <w:noProof/>
              <w:sz w:val="24"/>
              <w:szCs w:val="24"/>
              <w:lang w:val="es-ES" w:eastAsia="es-ES"/>
            </w:rPr>
          </w:pPr>
          <w:hyperlink w:anchor="_Toc14267898" w:history="1">
            <w:r w:rsidR="0094682B" w:rsidRPr="00445511">
              <w:rPr>
                <w:rStyle w:val="Hipervnculo"/>
                <w:rFonts w:ascii="Times New Roman" w:hAnsi="Times New Roman"/>
                <w:noProof/>
                <w:color w:val="auto"/>
                <w:sz w:val="24"/>
                <w:szCs w:val="24"/>
              </w:rPr>
              <w:t>5.1 Discusión de resultados</w:t>
            </w:r>
            <w:r w:rsidR="0094682B" w:rsidRPr="00445511">
              <w:rPr>
                <w:rFonts w:ascii="Times New Roman" w:hAnsi="Times New Roman"/>
                <w:noProof/>
                <w:webHidden/>
                <w:sz w:val="24"/>
                <w:szCs w:val="24"/>
              </w:rPr>
              <w:tab/>
            </w:r>
            <w:r w:rsidR="006C6D06">
              <w:rPr>
                <w:rFonts w:ascii="Times New Roman" w:hAnsi="Times New Roman"/>
                <w:noProof/>
                <w:webHidden/>
                <w:sz w:val="24"/>
                <w:szCs w:val="24"/>
              </w:rPr>
              <w:t>8</w:t>
            </w:r>
          </w:hyperlink>
        </w:p>
        <w:p w:rsidR="0094682B" w:rsidRPr="00445511" w:rsidRDefault="009118F6" w:rsidP="00DD5342">
          <w:pPr>
            <w:pStyle w:val="TDC3"/>
            <w:rPr>
              <w:rFonts w:ascii="Times New Roman" w:hAnsi="Times New Roman"/>
              <w:noProof/>
              <w:sz w:val="24"/>
              <w:szCs w:val="24"/>
            </w:rPr>
          </w:pPr>
          <w:hyperlink w:anchor="_Toc14267899" w:history="1">
            <w:r w:rsidR="0094682B" w:rsidRPr="00445511">
              <w:rPr>
                <w:rStyle w:val="Hipervnculo"/>
                <w:rFonts w:ascii="Times New Roman" w:hAnsi="Times New Roman"/>
                <w:noProof/>
                <w:color w:val="auto"/>
                <w:sz w:val="24"/>
                <w:szCs w:val="24"/>
              </w:rPr>
              <w:t>5.2 Trámite del informe</w:t>
            </w:r>
            <w:r w:rsidR="0094682B" w:rsidRPr="00445511">
              <w:rPr>
                <w:rFonts w:ascii="Times New Roman" w:hAnsi="Times New Roman"/>
                <w:noProof/>
                <w:webHidden/>
                <w:sz w:val="24"/>
                <w:szCs w:val="24"/>
              </w:rPr>
              <w:tab/>
            </w:r>
            <w:r w:rsidR="00BB11BD">
              <w:rPr>
                <w:rFonts w:ascii="Times New Roman" w:hAnsi="Times New Roman"/>
                <w:noProof/>
                <w:webHidden/>
                <w:sz w:val="24"/>
                <w:szCs w:val="24"/>
              </w:rPr>
              <w:t>9</w:t>
            </w:r>
          </w:hyperlink>
        </w:p>
        <w:p w:rsidR="001007AE" w:rsidRPr="00445511" w:rsidRDefault="001007AE" w:rsidP="00DD5342">
          <w:pPr>
            <w:rPr>
              <w:rFonts w:eastAsiaTheme="minorEastAsia"/>
              <w:noProof/>
              <w:lang w:val="es-CR" w:eastAsia="en-US"/>
            </w:rPr>
          </w:pPr>
        </w:p>
        <w:p w:rsidR="0094682B" w:rsidRDefault="009118F6" w:rsidP="00DD5342">
          <w:pPr>
            <w:pStyle w:val="TDC2"/>
            <w:rPr>
              <w:noProof/>
              <w:sz w:val="24"/>
              <w:szCs w:val="24"/>
            </w:rPr>
          </w:pPr>
          <w:hyperlink w:anchor="_Toc14267900" w:history="1">
            <w:r w:rsidR="0094682B" w:rsidRPr="00445511">
              <w:rPr>
                <w:rStyle w:val="Hipervnculo"/>
                <w:b/>
                <w:noProof/>
                <w:color w:val="auto"/>
                <w:sz w:val="24"/>
                <w:szCs w:val="24"/>
                <w:lang w:val="es-CR"/>
              </w:rPr>
              <w:t>6. NOMBRES Y FIRMAS</w:t>
            </w:r>
            <w:r w:rsidR="0094682B" w:rsidRPr="00445511">
              <w:rPr>
                <w:noProof/>
                <w:webHidden/>
                <w:sz w:val="24"/>
                <w:szCs w:val="24"/>
              </w:rPr>
              <w:tab/>
            </w:r>
            <w:r w:rsidR="006C6D06">
              <w:rPr>
                <w:noProof/>
                <w:webHidden/>
                <w:sz w:val="24"/>
                <w:szCs w:val="24"/>
              </w:rPr>
              <w:t>9</w:t>
            </w:r>
          </w:hyperlink>
        </w:p>
        <w:p w:rsidR="007B3D42" w:rsidRDefault="007B3D42" w:rsidP="007B3D42">
          <w:pPr>
            <w:rPr>
              <w:rFonts w:eastAsiaTheme="minorEastAsia"/>
              <w:lang w:eastAsia="es-ES"/>
            </w:rPr>
          </w:pPr>
        </w:p>
        <w:p w:rsidR="006C6D06" w:rsidRDefault="009118F6" w:rsidP="006C6D06">
          <w:pPr>
            <w:pStyle w:val="TDC2"/>
            <w:rPr>
              <w:noProof/>
              <w:sz w:val="24"/>
              <w:szCs w:val="24"/>
            </w:rPr>
          </w:pPr>
          <w:hyperlink w:anchor="_Toc14267900" w:history="1">
            <w:r w:rsidR="006C6D06">
              <w:rPr>
                <w:rStyle w:val="Hipervnculo"/>
                <w:b/>
                <w:noProof/>
                <w:color w:val="auto"/>
                <w:sz w:val="24"/>
                <w:szCs w:val="24"/>
                <w:lang w:val="es-CR"/>
              </w:rPr>
              <w:t>7</w:t>
            </w:r>
            <w:r w:rsidR="006C6D06" w:rsidRPr="00445511">
              <w:rPr>
                <w:rStyle w:val="Hipervnculo"/>
                <w:b/>
                <w:noProof/>
                <w:color w:val="auto"/>
                <w:sz w:val="24"/>
                <w:szCs w:val="24"/>
                <w:lang w:val="es-CR"/>
              </w:rPr>
              <w:t xml:space="preserve">. </w:t>
            </w:r>
            <w:r w:rsidR="006C6D06">
              <w:rPr>
                <w:rStyle w:val="Hipervnculo"/>
                <w:b/>
                <w:noProof/>
                <w:color w:val="auto"/>
                <w:sz w:val="24"/>
                <w:szCs w:val="24"/>
                <w:lang w:val="es-CR"/>
              </w:rPr>
              <w:t>ANEXOS</w:t>
            </w:r>
            <w:r w:rsidR="006C6D06" w:rsidRPr="00445511">
              <w:rPr>
                <w:noProof/>
                <w:webHidden/>
                <w:sz w:val="24"/>
                <w:szCs w:val="24"/>
              </w:rPr>
              <w:tab/>
            </w:r>
            <w:r w:rsidR="006C6D06">
              <w:rPr>
                <w:noProof/>
                <w:webHidden/>
                <w:sz w:val="24"/>
                <w:szCs w:val="24"/>
              </w:rPr>
              <w:t>9</w:t>
            </w:r>
          </w:hyperlink>
        </w:p>
        <w:p w:rsidR="006C6D06" w:rsidRDefault="006C6D06" w:rsidP="007B3D42">
          <w:pPr>
            <w:rPr>
              <w:rFonts w:eastAsiaTheme="minorEastAsia"/>
              <w:lang w:eastAsia="es-ES"/>
            </w:rPr>
          </w:pPr>
        </w:p>
        <w:p w:rsidR="007B3D42" w:rsidRPr="007B3D42" w:rsidRDefault="007B3D42" w:rsidP="007B3D42">
          <w:pPr>
            <w:pStyle w:val="Ttulo2"/>
            <w:spacing w:before="0" w:beforeAutospacing="0" w:after="0" w:afterAutospacing="0"/>
            <w:rPr>
              <w:b w:val="0"/>
              <w:szCs w:val="24"/>
              <w:lang w:val="es-CR"/>
            </w:rPr>
          </w:pPr>
        </w:p>
        <w:p w:rsidR="00795999" w:rsidRPr="00445511" w:rsidRDefault="00795999" w:rsidP="00DD5342">
          <w:r w:rsidRPr="00445511">
            <w:rPr>
              <w:bCs/>
            </w:rPr>
            <w:fldChar w:fldCharType="end"/>
          </w:r>
        </w:p>
      </w:sdtContent>
    </w:sdt>
    <w:p w:rsidR="0014644F" w:rsidRPr="00445511" w:rsidRDefault="0014644F" w:rsidP="00DD5342">
      <w:pPr>
        <w:pStyle w:val="Textoindependiente"/>
        <w:widowControl w:val="0"/>
        <w:autoSpaceDE w:val="0"/>
        <w:autoSpaceDN w:val="0"/>
        <w:adjustRightInd w:val="0"/>
        <w:contextualSpacing/>
        <w:rPr>
          <w:rFonts w:ascii="Times New Roman" w:hAnsi="Times New Roman"/>
          <w:b/>
          <w:szCs w:val="24"/>
          <w:lang w:val="es-ES"/>
        </w:rPr>
      </w:pPr>
    </w:p>
    <w:p w:rsidR="00172B3E" w:rsidRPr="00445511" w:rsidRDefault="00172B3E"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445511"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445511"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445511"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445511"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561FA"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66038F" w:rsidRDefault="0066038F" w:rsidP="00DD5342">
      <w:pPr>
        <w:pStyle w:val="Textoindependiente"/>
        <w:widowControl w:val="0"/>
        <w:autoSpaceDE w:val="0"/>
        <w:autoSpaceDN w:val="0"/>
        <w:adjustRightInd w:val="0"/>
        <w:contextualSpacing/>
        <w:rPr>
          <w:rFonts w:ascii="Times New Roman" w:hAnsi="Times New Roman"/>
          <w:b/>
          <w:szCs w:val="24"/>
          <w:lang w:val="es-ES"/>
        </w:rPr>
      </w:pPr>
    </w:p>
    <w:p w:rsidR="0066038F" w:rsidRDefault="0066038F" w:rsidP="00DD5342">
      <w:pPr>
        <w:pStyle w:val="Textoindependiente"/>
        <w:widowControl w:val="0"/>
        <w:autoSpaceDE w:val="0"/>
        <w:autoSpaceDN w:val="0"/>
        <w:adjustRightInd w:val="0"/>
        <w:contextualSpacing/>
        <w:rPr>
          <w:rFonts w:ascii="Times New Roman" w:hAnsi="Times New Roman"/>
          <w:b/>
          <w:szCs w:val="24"/>
          <w:lang w:val="es-ES"/>
        </w:rPr>
      </w:pPr>
    </w:p>
    <w:p w:rsidR="0066038F" w:rsidRPr="00445511" w:rsidRDefault="0066038F" w:rsidP="00DD5342">
      <w:pPr>
        <w:pStyle w:val="Textoindependiente"/>
        <w:widowControl w:val="0"/>
        <w:autoSpaceDE w:val="0"/>
        <w:autoSpaceDN w:val="0"/>
        <w:adjustRightInd w:val="0"/>
        <w:contextualSpacing/>
        <w:rPr>
          <w:rFonts w:ascii="Times New Roman" w:hAnsi="Times New Roman"/>
          <w:b/>
          <w:szCs w:val="24"/>
          <w:lang w:val="es-ES"/>
        </w:rPr>
      </w:pPr>
    </w:p>
    <w:p w:rsidR="0066038F" w:rsidRDefault="009D0D33" w:rsidP="006C6D06">
      <w:pPr>
        <w:pStyle w:val="Textoindependiente"/>
        <w:widowControl w:val="0"/>
        <w:tabs>
          <w:tab w:val="left" w:pos="5570"/>
        </w:tabs>
        <w:autoSpaceDE w:val="0"/>
        <w:autoSpaceDN w:val="0"/>
        <w:adjustRightInd w:val="0"/>
        <w:contextualSpacing/>
        <w:rPr>
          <w:szCs w:val="24"/>
        </w:rPr>
      </w:pPr>
      <w:r w:rsidRPr="00445511">
        <w:rPr>
          <w:rFonts w:ascii="Times New Roman" w:hAnsi="Times New Roman"/>
          <w:b/>
          <w:szCs w:val="24"/>
          <w:lang w:val="es-ES"/>
        </w:rPr>
        <w:tab/>
      </w:r>
      <w:bookmarkStart w:id="1" w:name="_Toc14267885"/>
    </w:p>
    <w:p w:rsidR="00632002" w:rsidRPr="006B060F" w:rsidRDefault="00453D12" w:rsidP="006B060F">
      <w:pPr>
        <w:pStyle w:val="Ttulo2"/>
        <w:spacing w:before="0" w:beforeAutospacing="0"/>
        <w:jc w:val="center"/>
        <w:rPr>
          <w:szCs w:val="24"/>
        </w:rPr>
      </w:pPr>
      <w:r w:rsidRPr="00445511">
        <w:rPr>
          <w:szCs w:val="24"/>
        </w:rPr>
        <w:lastRenderedPageBreak/>
        <w:t>RESUMEN EJECUTIVO</w:t>
      </w:r>
      <w:bookmarkEnd w:id="1"/>
    </w:p>
    <w:p w:rsidR="006B060F" w:rsidRDefault="00B77B18" w:rsidP="006B060F">
      <w:pPr>
        <w:pStyle w:val="Sinespaciado"/>
        <w:jc w:val="both"/>
        <w:rPr>
          <w:rStyle w:val="Textoennegrita"/>
        </w:rPr>
      </w:pPr>
      <w:r>
        <w:rPr>
          <w:rStyle w:val="Textoennegrita"/>
        </w:rPr>
        <w:t>¿</w:t>
      </w:r>
      <w:r w:rsidR="006B060F" w:rsidRPr="004301E7">
        <w:rPr>
          <w:rStyle w:val="Textoennegrita"/>
        </w:rPr>
        <w:t>Qué examinamos?</w:t>
      </w:r>
    </w:p>
    <w:p w:rsidR="006B060F" w:rsidRDefault="002230D6" w:rsidP="006B060F">
      <w:pPr>
        <w:pStyle w:val="Sinespaciado"/>
        <w:jc w:val="both"/>
        <w:rPr>
          <w:rStyle w:val="Textoennegrita"/>
          <w:b w:val="0"/>
        </w:rPr>
      </w:pPr>
      <w:r w:rsidRPr="002230D6">
        <w:rPr>
          <w:rStyle w:val="Textoennegrita"/>
          <w:b w:val="0"/>
        </w:rPr>
        <w:t>Con base en las funciones asignadas por el DE 38170 y la Ley 8131, se procedió a verificar los diferentes procesos que se ejecutan en el D</w:t>
      </w:r>
      <w:r w:rsidR="008B380F">
        <w:rPr>
          <w:rStyle w:val="Textoennegrita"/>
          <w:b w:val="0"/>
        </w:rPr>
        <w:t>epartamento de Control y Evaluación Presupuestaria (D</w:t>
      </w:r>
      <w:r w:rsidRPr="002230D6">
        <w:rPr>
          <w:rStyle w:val="Textoennegrita"/>
          <w:b w:val="0"/>
        </w:rPr>
        <w:t>ECEP</w:t>
      </w:r>
      <w:r w:rsidR="008B380F">
        <w:rPr>
          <w:rStyle w:val="Textoennegrita"/>
          <w:b w:val="0"/>
        </w:rPr>
        <w:t>)</w:t>
      </w:r>
      <w:r w:rsidRPr="002230D6">
        <w:rPr>
          <w:rStyle w:val="Textoennegrita"/>
          <w:b w:val="0"/>
        </w:rPr>
        <w:t xml:space="preserve">. </w:t>
      </w:r>
      <w:r>
        <w:rPr>
          <w:rStyle w:val="Textoennegrita"/>
          <w:b w:val="0"/>
        </w:rPr>
        <w:t xml:space="preserve">Se </w:t>
      </w:r>
      <w:r w:rsidR="001A3268">
        <w:rPr>
          <w:rStyle w:val="Textoennegrita"/>
          <w:b w:val="0"/>
        </w:rPr>
        <w:t>revisaron labores administrativas</w:t>
      </w:r>
      <w:r w:rsidR="00041814">
        <w:rPr>
          <w:rStyle w:val="Textoennegrita"/>
          <w:b w:val="0"/>
        </w:rPr>
        <w:t>, tales</w:t>
      </w:r>
      <w:r>
        <w:rPr>
          <w:rStyle w:val="Textoennegrita"/>
          <w:b w:val="0"/>
        </w:rPr>
        <w:t xml:space="preserve"> como: manuales de procedimientos, tiempo extraordinario, teletrabajo y evaluaciones de control interno.</w:t>
      </w:r>
      <w:r w:rsidR="006B060F" w:rsidRPr="009202F7">
        <w:rPr>
          <w:rStyle w:val="Textoennegrita"/>
          <w:b w:val="0"/>
        </w:rPr>
        <w:t xml:space="preserve"> </w:t>
      </w:r>
    </w:p>
    <w:p w:rsidR="002230D6" w:rsidRDefault="002230D6" w:rsidP="006B060F">
      <w:pPr>
        <w:pStyle w:val="Sinespaciado"/>
        <w:jc w:val="both"/>
        <w:rPr>
          <w:rStyle w:val="Textoennegrita"/>
          <w:b w:val="0"/>
        </w:rPr>
      </w:pPr>
    </w:p>
    <w:p w:rsidR="002230D6" w:rsidRPr="009202F7" w:rsidRDefault="002230D6" w:rsidP="006B060F">
      <w:pPr>
        <w:pStyle w:val="Sinespaciado"/>
        <w:jc w:val="both"/>
        <w:rPr>
          <w:rStyle w:val="Textoennegrita"/>
          <w:b w:val="0"/>
        </w:rPr>
      </w:pPr>
      <w:r>
        <w:rPr>
          <w:rStyle w:val="Textoennegrita"/>
          <w:b w:val="0"/>
        </w:rPr>
        <w:t>Referente a los procesos</w:t>
      </w:r>
      <w:r w:rsidR="001A3268">
        <w:rPr>
          <w:rStyle w:val="Textoennegrita"/>
          <w:b w:val="0"/>
        </w:rPr>
        <w:t xml:space="preserve"> en materia presupuestaria</w:t>
      </w:r>
      <w:r>
        <w:rPr>
          <w:rStyle w:val="Textoennegrita"/>
          <w:b w:val="0"/>
        </w:rPr>
        <w:t>, se pudo verificar la elaboración y comunicación de la programación financiera y el flujo de efectivo, reservas de recursos, solicitudes de pedido, liberación y desliberación de cuotas, modificaciones presupuestarias y la evaluación del servicio que facil</w:t>
      </w:r>
      <w:r w:rsidR="00542D9F">
        <w:rPr>
          <w:rStyle w:val="Textoennegrita"/>
          <w:b w:val="0"/>
        </w:rPr>
        <w:t xml:space="preserve">ita el DECEP a cada </w:t>
      </w:r>
      <w:r w:rsidR="00041814">
        <w:rPr>
          <w:rStyle w:val="Textoennegrita"/>
          <w:b w:val="0"/>
        </w:rPr>
        <w:t xml:space="preserve">uno de los </w:t>
      </w:r>
      <w:r w:rsidR="00542D9F">
        <w:rPr>
          <w:rStyle w:val="Textoennegrita"/>
          <w:b w:val="0"/>
        </w:rPr>
        <w:t>Programa</w:t>
      </w:r>
      <w:r w:rsidR="00041814">
        <w:rPr>
          <w:rStyle w:val="Textoennegrita"/>
          <w:b w:val="0"/>
        </w:rPr>
        <w:t>s</w:t>
      </w:r>
      <w:r w:rsidR="00542D9F">
        <w:rPr>
          <w:rStyle w:val="Textoennegrita"/>
          <w:b w:val="0"/>
        </w:rPr>
        <w:t xml:space="preserve"> Presupuestario</w:t>
      </w:r>
      <w:r w:rsidR="00041814">
        <w:rPr>
          <w:rStyle w:val="Textoennegrita"/>
          <w:b w:val="0"/>
        </w:rPr>
        <w:t>s</w:t>
      </w:r>
      <w:r>
        <w:rPr>
          <w:rStyle w:val="Textoennegrita"/>
          <w:b w:val="0"/>
        </w:rPr>
        <w:t xml:space="preserve">. </w:t>
      </w:r>
    </w:p>
    <w:p w:rsidR="006B060F" w:rsidRPr="004301E7" w:rsidRDefault="006B060F" w:rsidP="006B060F">
      <w:pPr>
        <w:pStyle w:val="Sinespaciado"/>
        <w:jc w:val="both"/>
        <w:rPr>
          <w:rStyle w:val="Textoennegrita"/>
        </w:rPr>
      </w:pPr>
      <w:r>
        <w:rPr>
          <w:rStyle w:val="Textoennegrita"/>
        </w:rPr>
        <w:t xml:space="preserve"> </w:t>
      </w:r>
    </w:p>
    <w:p w:rsidR="006B060F" w:rsidRDefault="006B060F" w:rsidP="006B060F">
      <w:pPr>
        <w:pStyle w:val="Sinespaciado"/>
        <w:jc w:val="both"/>
        <w:rPr>
          <w:rStyle w:val="Textoennegrita"/>
        </w:rPr>
      </w:pPr>
      <w:r w:rsidRPr="004301E7">
        <w:rPr>
          <w:rStyle w:val="Textoennegrita"/>
        </w:rPr>
        <w:t>¿Por qué es importante?</w:t>
      </w:r>
    </w:p>
    <w:p w:rsidR="006B060F" w:rsidRPr="009202F7" w:rsidRDefault="00955341" w:rsidP="006B060F">
      <w:pPr>
        <w:pStyle w:val="Sinespaciado"/>
        <w:jc w:val="both"/>
        <w:rPr>
          <w:rStyle w:val="Textoennegrita"/>
          <w:b w:val="0"/>
        </w:rPr>
      </w:pPr>
      <w:r w:rsidRPr="00955341">
        <w:rPr>
          <w:rStyle w:val="Textoennegrita"/>
          <w:b w:val="0"/>
        </w:rPr>
        <w:t xml:space="preserve">El DECEP es la instancia </w:t>
      </w:r>
      <w:r w:rsidR="004E6340">
        <w:rPr>
          <w:rStyle w:val="Textoennegrita"/>
          <w:b w:val="0"/>
        </w:rPr>
        <w:t>encargada de c</w:t>
      </w:r>
      <w:r w:rsidR="004E6340" w:rsidRPr="004E6340">
        <w:rPr>
          <w:rStyle w:val="Textoennegrita"/>
          <w:b w:val="0"/>
        </w:rPr>
        <w:t>ontrolar la ejecución del gasto del MEP, de acuerdo con el presupuesto autorizado mediante la ley aprobada para tales efectos</w:t>
      </w:r>
      <w:r w:rsidR="006B060F" w:rsidRPr="00955341">
        <w:rPr>
          <w:rStyle w:val="Textoennegrita"/>
          <w:b w:val="0"/>
        </w:rPr>
        <w:t>.</w:t>
      </w:r>
      <w:r w:rsidR="006B060F" w:rsidRPr="009202F7">
        <w:rPr>
          <w:rStyle w:val="Textoennegrita"/>
          <w:b w:val="0"/>
        </w:rPr>
        <w:t xml:space="preserve"> </w:t>
      </w:r>
      <w:r w:rsidR="004E6340">
        <w:rPr>
          <w:rStyle w:val="Textoennegrita"/>
          <w:b w:val="0"/>
        </w:rPr>
        <w:t>Asimismo, debe v</w:t>
      </w:r>
      <w:r w:rsidR="004E6340" w:rsidRPr="004E6340">
        <w:rPr>
          <w:rStyle w:val="Textoennegrita"/>
          <w:b w:val="0"/>
        </w:rPr>
        <w:t>elar por que la ejecución de los distintos Programas Presupuestarios se realice de acuerdo con la programación financiera aprobada por la Dirección General de Presupuesto Nacional del Ministerio de Hacienda.</w:t>
      </w:r>
    </w:p>
    <w:p w:rsidR="006B060F" w:rsidRPr="004301E7" w:rsidRDefault="006B060F" w:rsidP="006B060F">
      <w:pPr>
        <w:pStyle w:val="Sinespaciado"/>
        <w:jc w:val="both"/>
        <w:rPr>
          <w:rStyle w:val="Textoennegrita"/>
        </w:rPr>
      </w:pPr>
    </w:p>
    <w:p w:rsidR="006B060F" w:rsidRDefault="006B060F" w:rsidP="006B060F">
      <w:pPr>
        <w:pStyle w:val="Sinespaciado"/>
        <w:jc w:val="both"/>
        <w:rPr>
          <w:rStyle w:val="Textoennegrita"/>
        </w:rPr>
      </w:pPr>
      <w:r w:rsidRPr="004301E7">
        <w:rPr>
          <w:rStyle w:val="Textoennegrita"/>
        </w:rPr>
        <w:t>¿Qué encontramos?</w:t>
      </w:r>
    </w:p>
    <w:p w:rsidR="00186A78" w:rsidRPr="00186A78" w:rsidRDefault="00186A78" w:rsidP="00186A78">
      <w:pPr>
        <w:pStyle w:val="Sinespaciado"/>
        <w:jc w:val="both"/>
        <w:rPr>
          <w:rStyle w:val="Textoennegrita"/>
          <w:b w:val="0"/>
        </w:rPr>
      </w:pPr>
      <w:r>
        <w:rPr>
          <w:rStyle w:val="Textoennegrita"/>
          <w:b w:val="0"/>
        </w:rPr>
        <w:t xml:space="preserve">En la revisión efectuada a los diferentes procesos, se pudo verificar que en su mayoría se realizan de acuerdo a los manuales y normativa pertinente, mostrando un nivel de riesgo aceptable en </w:t>
      </w:r>
      <w:r w:rsidR="00041814">
        <w:rPr>
          <w:rStyle w:val="Textoennegrita"/>
          <w:b w:val="0"/>
        </w:rPr>
        <w:t xml:space="preserve">cada uno de </w:t>
      </w:r>
      <w:r>
        <w:rPr>
          <w:rStyle w:val="Textoennegrita"/>
          <w:b w:val="0"/>
        </w:rPr>
        <w:t>los procesos revisados. Ú</w:t>
      </w:r>
      <w:r w:rsidR="00542D9F">
        <w:rPr>
          <w:rStyle w:val="Textoennegrita"/>
          <w:b w:val="0"/>
        </w:rPr>
        <w:t>nicamente se determinó que los M</w:t>
      </w:r>
      <w:r>
        <w:rPr>
          <w:rStyle w:val="Textoennegrita"/>
          <w:b w:val="0"/>
        </w:rPr>
        <w:t>anuales de Procedimientos se encuentran desactualizados</w:t>
      </w:r>
      <w:r w:rsidR="00041814">
        <w:rPr>
          <w:rStyle w:val="Textoennegrita"/>
          <w:b w:val="0"/>
        </w:rPr>
        <w:t>,</w:t>
      </w:r>
      <w:r>
        <w:rPr>
          <w:rStyle w:val="Textoennegrita"/>
          <w:b w:val="0"/>
        </w:rPr>
        <w:t xml:space="preserve"> al igual que la evaluación de riesgos, misma que no se realiza desde el año 2015. </w:t>
      </w:r>
      <w:r w:rsidR="00EE6116">
        <w:rPr>
          <w:rStyle w:val="Textoennegrita"/>
          <w:b w:val="0"/>
        </w:rPr>
        <w:t xml:space="preserve">Adicional, se </w:t>
      </w:r>
      <w:r w:rsidR="00041814">
        <w:rPr>
          <w:rStyle w:val="Textoennegrita"/>
          <w:b w:val="0"/>
        </w:rPr>
        <w:t>detectaron</w:t>
      </w:r>
      <w:r w:rsidR="00EE6116">
        <w:rPr>
          <w:rStyle w:val="Textoennegrita"/>
          <w:b w:val="0"/>
        </w:rPr>
        <w:t xml:space="preserve"> inconsistencias a nivel Ministerial, con respecto a la conservación de los archivos digitales.</w:t>
      </w:r>
    </w:p>
    <w:p w:rsidR="00186A78" w:rsidRPr="00186A78" w:rsidRDefault="00186A78" w:rsidP="00186A78">
      <w:pPr>
        <w:pStyle w:val="Sinespaciado"/>
        <w:jc w:val="both"/>
        <w:rPr>
          <w:rStyle w:val="Textoennegrita"/>
          <w:b w:val="0"/>
        </w:rPr>
      </w:pPr>
    </w:p>
    <w:p w:rsidR="006B060F" w:rsidRDefault="006B060F" w:rsidP="006B060F">
      <w:pPr>
        <w:pStyle w:val="Sinespaciado"/>
        <w:jc w:val="both"/>
        <w:rPr>
          <w:rStyle w:val="Textoennegrita"/>
        </w:rPr>
      </w:pPr>
      <w:r w:rsidRPr="004301E7">
        <w:rPr>
          <w:rStyle w:val="Textoennegrita"/>
        </w:rPr>
        <w:t>¿Qué sigue?</w:t>
      </w:r>
    </w:p>
    <w:p w:rsidR="001C2F38" w:rsidRPr="00413984" w:rsidRDefault="001C2F38" w:rsidP="001C2F38">
      <w:pPr>
        <w:jc w:val="both"/>
      </w:pPr>
      <w:r>
        <w:t xml:space="preserve">La jefatura del Departamento de Control y Evaluación Presupuestaria, tendrá la responsabilidad de implementar, junto a su equipo de trabajo, la actualización de </w:t>
      </w:r>
      <w:r w:rsidRPr="002F5340">
        <w:t>los Manuales de Procedimientos</w:t>
      </w:r>
      <w:r w:rsidR="005E32AE">
        <w:t xml:space="preserve"> y </w:t>
      </w:r>
      <w:r w:rsidRPr="00413984">
        <w:t>l</w:t>
      </w:r>
      <w:r>
        <w:t>a correspondiente evaluación de r</w:t>
      </w:r>
      <w:r w:rsidRPr="00413984">
        <w:t>iesgos</w:t>
      </w:r>
      <w:r>
        <w:t>.</w:t>
      </w:r>
      <w:r w:rsidR="00EE6116">
        <w:t xml:space="preserve"> Por su parte, se recomendó al Viceministro Administrativo, el establecimiento de estrategias para el resguardo y conservación de los archivos digitales del </w:t>
      </w:r>
      <w:r w:rsidR="00041814">
        <w:t>MEP</w:t>
      </w:r>
      <w:r w:rsidR="00EE6116">
        <w:t>.</w:t>
      </w:r>
    </w:p>
    <w:p w:rsidR="006B060F" w:rsidRDefault="006B060F" w:rsidP="006B060F">
      <w:pPr>
        <w:pStyle w:val="Sinespaciado"/>
        <w:jc w:val="both"/>
        <w:rPr>
          <w:rStyle w:val="Textoennegrita"/>
          <w:b w:val="0"/>
        </w:rPr>
      </w:pPr>
    </w:p>
    <w:p w:rsidR="0066038F" w:rsidRDefault="0066038F" w:rsidP="006B060F">
      <w:pPr>
        <w:pStyle w:val="Sinespaciado"/>
        <w:jc w:val="both"/>
        <w:rPr>
          <w:rStyle w:val="Textoennegrita"/>
          <w:b w:val="0"/>
        </w:rPr>
      </w:pPr>
    </w:p>
    <w:p w:rsidR="0066038F" w:rsidRDefault="0066038F" w:rsidP="006B060F">
      <w:pPr>
        <w:pStyle w:val="Sinespaciado"/>
        <w:jc w:val="both"/>
        <w:rPr>
          <w:rStyle w:val="Textoennegrita"/>
          <w:b w:val="0"/>
        </w:rPr>
      </w:pPr>
    </w:p>
    <w:p w:rsidR="0066038F" w:rsidRDefault="0066038F" w:rsidP="006B060F">
      <w:pPr>
        <w:pStyle w:val="Sinespaciado"/>
        <w:jc w:val="both"/>
        <w:rPr>
          <w:rStyle w:val="Textoennegrita"/>
          <w:b w:val="0"/>
        </w:rPr>
      </w:pPr>
    </w:p>
    <w:p w:rsidR="0066038F" w:rsidRDefault="0066038F" w:rsidP="006B060F">
      <w:pPr>
        <w:pStyle w:val="Sinespaciado"/>
        <w:jc w:val="both"/>
        <w:rPr>
          <w:rStyle w:val="Textoennegrita"/>
          <w:b w:val="0"/>
        </w:rPr>
      </w:pPr>
    </w:p>
    <w:p w:rsidR="0066038F" w:rsidRDefault="0066038F" w:rsidP="006B060F">
      <w:pPr>
        <w:pStyle w:val="Sinespaciado"/>
        <w:jc w:val="both"/>
        <w:rPr>
          <w:rStyle w:val="Textoennegrita"/>
          <w:b w:val="0"/>
        </w:rPr>
      </w:pPr>
    </w:p>
    <w:p w:rsidR="005E32AE" w:rsidRDefault="005E32AE" w:rsidP="006B060F">
      <w:pPr>
        <w:pStyle w:val="Sinespaciado"/>
        <w:jc w:val="both"/>
        <w:rPr>
          <w:rStyle w:val="Textoennegrita"/>
          <w:b w:val="0"/>
        </w:rPr>
      </w:pPr>
    </w:p>
    <w:p w:rsidR="005E32AE" w:rsidRDefault="005E32AE" w:rsidP="006B060F">
      <w:pPr>
        <w:pStyle w:val="Sinespaciado"/>
        <w:jc w:val="both"/>
        <w:rPr>
          <w:rStyle w:val="Textoennegrita"/>
          <w:b w:val="0"/>
        </w:rPr>
      </w:pPr>
    </w:p>
    <w:p w:rsidR="005E32AE" w:rsidRDefault="005E32AE" w:rsidP="006B060F">
      <w:pPr>
        <w:pStyle w:val="Sinespaciado"/>
        <w:jc w:val="both"/>
        <w:rPr>
          <w:rStyle w:val="Textoennegrita"/>
          <w:b w:val="0"/>
        </w:rPr>
      </w:pPr>
    </w:p>
    <w:p w:rsidR="0066038F" w:rsidRDefault="0066038F" w:rsidP="006B060F">
      <w:pPr>
        <w:pStyle w:val="Sinespaciado"/>
        <w:jc w:val="both"/>
        <w:rPr>
          <w:rStyle w:val="Textoennegrita"/>
          <w:b w:val="0"/>
        </w:rPr>
      </w:pPr>
    </w:p>
    <w:p w:rsidR="0066038F" w:rsidRDefault="0066038F" w:rsidP="006B060F">
      <w:pPr>
        <w:pStyle w:val="Sinespaciado"/>
        <w:jc w:val="both"/>
        <w:rPr>
          <w:rStyle w:val="Textoennegrita"/>
          <w:b w:val="0"/>
        </w:rPr>
      </w:pPr>
    </w:p>
    <w:p w:rsidR="00453D12" w:rsidRPr="00445511" w:rsidRDefault="00453D12" w:rsidP="00DD5342">
      <w:pPr>
        <w:pStyle w:val="Ttulo2"/>
        <w:spacing w:after="0" w:afterAutospacing="0"/>
        <w:rPr>
          <w:szCs w:val="24"/>
        </w:rPr>
      </w:pPr>
      <w:bookmarkStart w:id="2" w:name="_Toc14267886"/>
      <w:r w:rsidRPr="00445511">
        <w:rPr>
          <w:szCs w:val="24"/>
        </w:rPr>
        <w:lastRenderedPageBreak/>
        <w:t>1. INTRODUCCIÓN</w:t>
      </w:r>
      <w:bookmarkEnd w:id="2"/>
    </w:p>
    <w:p w:rsidR="00DA4BC4" w:rsidRPr="00445511" w:rsidRDefault="00DA4BC4" w:rsidP="00DD5342">
      <w:bookmarkStart w:id="3" w:name="_Toc14267887"/>
    </w:p>
    <w:p w:rsidR="00212C16" w:rsidRPr="00445511" w:rsidRDefault="00212C16" w:rsidP="00DD5342">
      <w:pPr>
        <w:pStyle w:val="Ttulo2"/>
        <w:spacing w:before="0" w:beforeAutospacing="0" w:after="0" w:afterAutospacing="0"/>
        <w:rPr>
          <w:szCs w:val="24"/>
        </w:rPr>
      </w:pPr>
      <w:r w:rsidRPr="00445511">
        <w:rPr>
          <w:szCs w:val="24"/>
        </w:rPr>
        <w:t>1.1 Origen</w:t>
      </w:r>
      <w:bookmarkEnd w:id="3"/>
    </w:p>
    <w:p w:rsidR="00212C16" w:rsidRPr="00445511" w:rsidRDefault="00212C16" w:rsidP="00DD5342">
      <w:pPr>
        <w:jc w:val="both"/>
      </w:pPr>
      <w:r w:rsidRPr="00445511">
        <w:t>El estudio cuyos resultados se presentan en este informe</w:t>
      </w:r>
      <w:r w:rsidR="0053311F">
        <w:t>,</w:t>
      </w:r>
      <w:r w:rsidRPr="00445511">
        <w:t xml:space="preserve"> se realizó de acuerdo con el Plan Anual de la Auditoría Interna para el año 20</w:t>
      </w:r>
      <w:r w:rsidR="006410DC">
        <w:t>18</w:t>
      </w:r>
      <w:r w:rsidRPr="00445511">
        <w:t xml:space="preserve">, en concordancia con el artículo 22 de la Ley General de Control Interno que confiere las competencias a las Auditorías Internas </w:t>
      </w:r>
      <w:r w:rsidR="0066038F" w:rsidRPr="00445511">
        <w:t>para realizar</w:t>
      </w:r>
      <w:r w:rsidRPr="00445511">
        <w:t xml:space="preserve"> evaluaciones en las diferentes dependencias institucionales.</w:t>
      </w:r>
    </w:p>
    <w:p w:rsidR="00212C16" w:rsidRPr="00445511" w:rsidRDefault="00212C16" w:rsidP="00DD5342"/>
    <w:p w:rsidR="00453D12" w:rsidRPr="00445511" w:rsidRDefault="00212C16" w:rsidP="00DD5342">
      <w:pPr>
        <w:pStyle w:val="Ttulo2"/>
        <w:spacing w:before="0" w:beforeAutospacing="0" w:after="0" w:afterAutospacing="0"/>
        <w:rPr>
          <w:szCs w:val="24"/>
        </w:rPr>
      </w:pPr>
      <w:bookmarkStart w:id="4" w:name="_Toc14267888"/>
      <w:r w:rsidRPr="00445511">
        <w:rPr>
          <w:szCs w:val="24"/>
        </w:rPr>
        <w:t xml:space="preserve">1.2 </w:t>
      </w:r>
      <w:r w:rsidR="00453D12" w:rsidRPr="00445511">
        <w:rPr>
          <w:szCs w:val="24"/>
        </w:rPr>
        <w:t>Objetivo General</w:t>
      </w:r>
      <w:bookmarkEnd w:id="4"/>
    </w:p>
    <w:p w:rsidR="00D07F6A" w:rsidRPr="00D760B1" w:rsidRDefault="004B50E2" w:rsidP="00DD5342">
      <w:pPr>
        <w:jc w:val="both"/>
      </w:pPr>
      <w:r w:rsidRPr="004B50E2">
        <w:t>Verificar si las funciones, normativa y procedimientos desarrollados en el Departamento de Control y Evaluación Presupuestaria, se encuentran alineadas a un adecuado cumplimiento de la ley de Presupuesto y la programación financiera, aprobada por la Dirección General de Presupuesto Nacional; que consecuentemente es ejecutada por los Pr</w:t>
      </w:r>
      <w:r>
        <w:t>ogramas Presupuestarios del MEP</w:t>
      </w:r>
      <w:r w:rsidR="00D760B1" w:rsidRPr="00D760B1">
        <w:t>.</w:t>
      </w:r>
    </w:p>
    <w:p w:rsidR="00D760B1" w:rsidRPr="00445511" w:rsidRDefault="00D760B1" w:rsidP="00DD5342">
      <w:pPr>
        <w:jc w:val="both"/>
        <w:rPr>
          <w:b/>
        </w:rPr>
      </w:pPr>
    </w:p>
    <w:p w:rsidR="00453D12" w:rsidRPr="00445511" w:rsidRDefault="00D07F6A" w:rsidP="00DD5342">
      <w:pPr>
        <w:pStyle w:val="Ttulo3"/>
        <w:spacing w:before="0"/>
        <w:rPr>
          <w:rFonts w:cs="Times New Roman"/>
        </w:rPr>
      </w:pPr>
      <w:bookmarkStart w:id="5" w:name="_Toc14267889"/>
      <w:r w:rsidRPr="00445511">
        <w:rPr>
          <w:rFonts w:cs="Times New Roman"/>
        </w:rPr>
        <w:t>1.</w:t>
      </w:r>
      <w:r w:rsidR="0027258B" w:rsidRPr="00445511">
        <w:rPr>
          <w:rFonts w:cs="Times New Roman"/>
        </w:rPr>
        <w:t>3</w:t>
      </w:r>
      <w:r w:rsidR="00453D12" w:rsidRPr="00445511">
        <w:rPr>
          <w:rFonts w:cs="Times New Roman"/>
        </w:rPr>
        <w:t xml:space="preserve"> Alcance</w:t>
      </w:r>
      <w:bookmarkEnd w:id="5"/>
      <w:r w:rsidR="00453D12" w:rsidRPr="00445511">
        <w:rPr>
          <w:rFonts w:cs="Times New Roman"/>
        </w:rPr>
        <w:t xml:space="preserve"> </w:t>
      </w:r>
    </w:p>
    <w:p w:rsidR="00453D12" w:rsidRPr="00445511" w:rsidRDefault="00FC4A9E" w:rsidP="00DD5342">
      <w:pPr>
        <w:jc w:val="both"/>
      </w:pPr>
      <w:r w:rsidRPr="00445511">
        <w:t xml:space="preserve">Es una auditoría de </w:t>
      </w:r>
      <w:r w:rsidR="00922233">
        <w:t>Gestión</w:t>
      </w:r>
      <w:r w:rsidRPr="00445511">
        <w:t xml:space="preserve">, </w:t>
      </w:r>
      <w:r w:rsidR="0010709E" w:rsidRPr="00445511">
        <w:t xml:space="preserve">se realizó en </w:t>
      </w:r>
      <w:r w:rsidR="00922233">
        <w:t>el Departamento de Control y Evaluación Presupuestaria, perteneciente a la Dirección Financiera</w:t>
      </w:r>
      <w:r w:rsidR="0010709E" w:rsidRPr="00445511">
        <w:t xml:space="preserve"> y </w:t>
      </w:r>
      <w:r w:rsidRPr="00445511">
        <w:t xml:space="preserve">abarcó el período comprendido entre </w:t>
      </w:r>
      <w:r w:rsidR="00922233">
        <w:t xml:space="preserve">el 1 de </w:t>
      </w:r>
      <w:r w:rsidR="00AA2227">
        <w:t>julio</w:t>
      </w:r>
      <w:r w:rsidR="00922233">
        <w:t xml:space="preserve"> de 2018 al 31 de julio de 2019</w:t>
      </w:r>
      <w:r w:rsidRPr="00445511">
        <w:t>, ampliándose en aquellos caso</w:t>
      </w:r>
      <w:r w:rsidR="0010709E" w:rsidRPr="00445511">
        <w:t>s en que se consideró necesario.</w:t>
      </w:r>
    </w:p>
    <w:p w:rsidR="00FC4A9E" w:rsidRPr="00445511" w:rsidRDefault="00FC4A9E" w:rsidP="00DD5342">
      <w:pPr>
        <w:jc w:val="both"/>
      </w:pPr>
    </w:p>
    <w:p w:rsidR="0010709E" w:rsidRPr="00445511" w:rsidRDefault="0027258B" w:rsidP="00DD5342">
      <w:pPr>
        <w:pStyle w:val="Ttulo3"/>
        <w:spacing w:before="0"/>
        <w:rPr>
          <w:rFonts w:cs="Times New Roman"/>
        </w:rPr>
      </w:pPr>
      <w:bookmarkStart w:id="6" w:name="_Toc14267890"/>
      <w:r w:rsidRPr="00445511">
        <w:rPr>
          <w:rFonts w:cs="Times New Roman"/>
        </w:rPr>
        <w:t>1.3</w:t>
      </w:r>
      <w:r w:rsidR="007F6EA6" w:rsidRPr="00445511">
        <w:rPr>
          <w:rFonts w:cs="Times New Roman"/>
        </w:rPr>
        <w:t xml:space="preserve">.1 </w:t>
      </w:r>
      <w:r w:rsidR="0010709E" w:rsidRPr="00445511">
        <w:rPr>
          <w:rFonts w:cs="Times New Roman"/>
        </w:rPr>
        <w:t>Normativa Aplicable</w:t>
      </w:r>
      <w:bookmarkEnd w:id="6"/>
      <w:r w:rsidR="0010709E" w:rsidRPr="00445511">
        <w:rPr>
          <w:rFonts w:cs="Times New Roman"/>
        </w:rPr>
        <w:t xml:space="preserve"> </w:t>
      </w:r>
    </w:p>
    <w:p w:rsidR="0010709E" w:rsidRPr="00445511" w:rsidRDefault="0010709E" w:rsidP="00DD5342">
      <w:pPr>
        <w:jc w:val="both"/>
      </w:pPr>
      <w:r w:rsidRPr="00445511">
        <w:t>Este informe se ejecutó de conformidad con lo establecido en la Ley General de Control Interno</w:t>
      </w:r>
      <w:r w:rsidR="007F6EA6" w:rsidRPr="00445511">
        <w:t xml:space="preserve"> N° 8292</w:t>
      </w:r>
      <w:r w:rsidRPr="00445511">
        <w:t xml:space="preserve">, Normas para el Ejercicio de la Auditoría Interna en el Sector Público, el Manual de Normas Generales de Auditoría para el Sector Público y normativa adicional relacionada al estudio. </w:t>
      </w:r>
    </w:p>
    <w:p w:rsidR="0010709E" w:rsidRPr="00445511" w:rsidRDefault="0010709E" w:rsidP="00DD5342">
      <w:pPr>
        <w:jc w:val="both"/>
      </w:pPr>
    </w:p>
    <w:p w:rsidR="007F6EA6" w:rsidRPr="00445511" w:rsidRDefault="0027258B" w:rsidP="00DD5342">
      <w:pPr>
        <w:pStyle w:val="Encabezado2"/>
        <w:numPr>
          <w:ilvl w:val="0"/>
          <w:numId w:val="0"/>
        </w:numPr>
        <w:ind w:left="426" w:hanging="426"/>
        <w:rPr>
          <w:rFonts w:ascii="Times New Roman" w:eastAsiaTheme="majorEastAsia" w:hAnsi="Times New Roman" w:cs="Times New Roman"/>
          <w:color w:val="auto"/>
          <w:sz w:val="24"/>
          <w:szCs w:val="24"/>
          <w:lang w:eastAsia="ar-SA"/>
        </w:rPr>
      </w:pPr>
      <w:bookmarkStart w:id="7" w:name="_Toc14267891"/>
      <w:r w:rsidRPr="00445511">
        <w:rPr>
          <w:rFonts w:ascii="Times New Roman" w:eastAsiaTheme="majorEastAsia" w:hAnsi="Times New Roman" w:cs="Times New Roman"/>
          <w:color w:val="auto"/>
          <w:sz w:val="24"/>
          <w:szCs w:val="24"/>
          <w:lang w:eastAsia="ar-SA"/>
        </w:rPr>
        <w:t>1.3</w:t>
      </w:r>
      <w:r w:rsidR="007F6EA6" w:rsidRPr="00445511">
        <w:rPr>
          <w:rFonts w:ascii="Times New Roman" w:eastAsiaTheme="majorEastAsia" w:hAnsi="Times New Roman" w:cs="Times New Roman"/>
          <w:color w:val="auto"/>
          <w:sz w:val="24"/>
          <w:szCs w:val="24"/>
          <w:lang w:eastAsia="ar-SA"/>
        </w:rPr>
        <w:t>.2 Fuentes de criterio</w:t>
      </w:r>
      <w:bookmarkEnd w:id="7"/>
    </w:p>
    <w:p w:rsidR="00FC4A9E" w:rsidRPr="00445511" w:rsidRDefault="00FC4A9E" w:rsidP="00DD5342">
      <w:pPr>
        <w:suppressAutoHyphens w:val="0"/>
        <w:autoSpaceDE w:val="0"/>
        <w:autoSpaceDN w:val="0"/>
        <w:adjustRightInd w:val="0"/>
        <w:jc w:val="both"/>
      </w:pPr>
      <w:r w:rsidRPr="00445511">
        <w:t>Adicionalmente, como principales criter</w:t>
      </w:r>
      <w:r w:rsidR="007F6EA6" w:rsidRPr="00445511">
        <w:t xml:space="preserve">ios de evaluación se utilizó lo establecido en las </w:t>
      </w:r>
      <w:r w:rsidRPr="00445511">
        <w:t>regulaciones que se indican a continuación:</w:t>
      </w:r>
    </w:p>
    <w:p w:rsidR="0027258B" w:rsidRPr="00445511" w:rsidRDefault="0027258B" w:rsidP="00DD5342">
      <w:pPr>
        <w:suppressAutoHyphens w:val="0"/>
        <w:autoSpaceDE w:val="0"/>
        <w:autoSpaceDN w:val="0"/>
        <w:adjustRightInd w:val="0"/>
        <w:jc w:val="both"/>
      </w:pPr>
    </w:p>
    <w:p w:rsidR="00922233" w:rsidRPr="00922233" w:rsidRDefault="00AA2227" w:rsidP="00B72F85">
      <w:pPr>
        <w:pStyle w:val="Prrafodelista"/>
        <w:numPr>
          <w:ilvl w:val="0"/>
          <w:numId w:val="8"/>
        </w:numPr>
        <w:autoSpaceDE w:val="0"/>
        <w:autoSpaceDN w:val="0"/>
        <w:adjustRightInd w:val="0"/>
        <w:spacing w:after="0" w:line="240" w:lineRule="auto"/>
        <w:ind w:left="924" w:hanging="357"/>
        <w:jc w:val="both"/>
        <w:rPr>
          <w:rFonts w:ascii="Times New Roman" w:hAnsi="Times New Roman" w:cs="Times New Roman"/>
          <w:sz w:val="24"/>
          <w:szCs w:val="24"/>
        </w:rPr>
      </w:pPr>
      <w:r>
        <w:rPr>
          <w:rFonts w:ascii="Times New Roman" w:hAnsi="Times New Roman" w:cs="Times New Roman"/>
          <w:sz w:val="24"/>
          <w:szCs w:val="24"/>
        </w:rPr>
        <w:t>Ley de la Adm.</w:t>
      </w:r>
      <w:r w:rsidR="00922233" w:rsidRPr="00922233">
        <w:rPr>
          <w:rFonts w:ascii="Times New Roman" w:hAnsi="Times New Roman" w:cs="Times New Roman"/>
          <w:sz w:val="24"/>
          <w:szCs w:val="24"/>
        </w:rPr>
        <w:t xml:space="preserve"> Financiera de la República y Presupuestos Públicos N° 8131</w:t>
      </w:r>
      <w:r>
        <w:rPr>
          <w:rFonts w:ascii="Times New Roman" w:hAnsi="Times New Roman" w:cs="Times New Roman"/>
          <w:sz w:val="24"/>
          <w:szCs w:val="24"/>
        </w:rPr>
        <w:t>.</w:t>
      </w:r>
    </w:p>
    <w:p w:rsidR="008F1D12" w:rsidRPr="00922233" w:rsidRDefault="008F1D12" w:rsidP="008F1D12">
      <w:pPr>
        <w:pStyle w:val="Prrafodelista"/>
        <w:numPr>
          <w:ilvl w:val="0"/>
          <w:numId w:val="8"/>
        </w:numPr>
        <w:autoSpaceDE w:val="0"/>
        <w:autoSpaceDN w:val="0"/>
        <w:adjustRightInd w:val="0"/>
        <w:spacing w:after="0" w:line="240" w:lineRule="auto"/>
        <w:ind w:left="924" w:hanging="357"/>
        <w:jc w:val="both"/>
        <w:rPr>
          <w:rFonts w:ascii="Times New Roman" w:hAnsi="Times New Roman" w:cs="Times New Roman"/>
          <w:sz w:val="24"/>
          <w:szCs w:val="24"/>
        </w:rPr>
      </w:pPr>
      <w:r w:rsidRPr="008F1D12">
        <w:rPr>
          <w:rFonts w:ascii="Times New Roman" w:hAnsi="Times New Roman" w:cs="Times New Roman"/>
          <w:sz w:val="24"/>
          <w:szCs w:val="24"/>
        </w:rPr>
        <w:t>Ley del Sistema Nacional de Archivos N° 7202</w:t>
      </w:r>
    </w:p>
    <w:p w:rsidR="00922233" w:rsidRPr="00922233" w:rsidRDefault="00922233" w:rsidP="00B72F85">
      <w:pPr>
        <w:pStyle w:val="Prrafodelista"/>
        <w:numPr>
          <w:ilvl w:val="0"/>
          <w:numId w:val="8"/>
        </w:numPr>
        <w:autoSpaceDE w:val="0"/>
        <w:autoSpaceDN w:val="0"/>
        <w:adjustRightInd w:val="0"/>
        <w:spacing w:after="0" w:line="240" w:lineRule="auto"/>
        <w:ind w:left="924" w:hanging="357"/>
        <w:jc w:val="both"/>
        <w:rPr>
          <w:rFonts w:ascii="Times New Roman" w:hAnsi="Times New Roman" w:cs="Times New Roman"/>
          <w:sz w:val="24"/>
          <w:szCs w:val="24"/>
        </w:rPr>
      </w:pPr>
      <w:r w:rsidRPr="00922233">
        <w:rPr>
          <w:rFonts w:ascii="Times New Roman" w:hAnsi="Times New Roman" w:cs="Times New Roman"/>
          <w:sz w:val="24"/>
          <w:szCs w:val="24"/>
        </w:rPr>
        <w:t xml:space="preserve">Reglamento a la Ley </w:t>
      </w:r>
      <w:r w:rsidR="00AA2227">
        <w:rPr>
          <w:rFonts w:ascii="Times New Roman" w:hAnsi="Times New Roman" w:cs="Times New Roman"/>
          <w:sz w:val="24"/>
          <w:szCs w:val="24"/>
        </w:rPr>
        <w:t>N°</w:t>
      </w:r>
      <w:r w:rsidRPr="00922233">
        <w:rPr>
          <w:rFonts w:ascii="Times New Roman" w:hAnsi="Times New Roman" w:cs="Times New Roman"/>
          <w:sz w:val="24"/>
          <w:szCs w:val="24"/>
        </w:rPr>
        <w:t>8131</w:t>
      </w:r>
      <w:r w:rsidR="00AA2227">
        <w:rPr>
          <w:rFonts w:ascii="Times New Roman" w:hAnsi="Times New Roman" w:cs="Times New Roman"/>
          <w:sz w:val="24"/>
          <w:szCs w:val="24"/>
        </w:rPr>
        <w:t>, Decreto Ejecutivo</w:t>
      </w:r>
      <w:r w:rsidR="009118F6">
        <w:rPr>
          <w:rFonts w:ascii="Times New Roman" w:hAnsi="Times New Roman" w:cs="Times New Roman"/>
          <w:sz w:val="24"/>
          <w:szCs w:val="24"/>
        </w:rPr>
        <w:t xml:space="preserve"> </w:t>
      </w:r>
      <w:r w:rsidR="00AA2227">
        <w:rPr>
          <w:rFonts w:ascii="Times New Roman" w:hAnsi="Times New Roman" w:cs="Times New Roman"/>
          <w:sz w:val="24"/>
          <w:szCs w:val="24"/>
        </w:rPr>
        <w:t>32988.</w:t>
      </w:r>
    </w:p>
    <w:p w:rsidR="00922233" w:rsidRPr="00922233" w:rsidRDefault="00922233" w:rsidP="00B72F85">
      <w:pPr>
        <w:pStyle w:val="Prrafodelista"/>
        <w:numPr>
          <w:ilvl w:val="0"/>
          <w:numId w:val="8"/>
        </w:numPr>
        <w:autoSpaceDE w:val="0"/>
        <w:autoSpaceDN w:val="0"/>
        <w:adjustRightInd w:val="0"/>
        <w:spacing w:after="0" w:line="240" w:lineRule="auto"/>
        <w:ind w:left="924" w:hanging="357"/>
        <w:jc w:val="both"/>
        <w:rPr>
          <w:rFonts w:ascii="Times New Roman" w:hAnsi="Times New Roman" w:cs="Times New Roman"/>
          <w:sz w:val="24"/>
          <w:szCs w:val="24"/>
        </w:rPr>
      </w:pPr>
      <w:r w:rsidRPr="00922233">
        <w:rPr>
          <w:rFonts w:ascii="Times New Roman" w:hAnsi="Times New Roman" w:cs="Times New Roman"/>
          <w:sz w:val="24"/>
          <w:szCs w:val="24"/>
        </w:rPr>
        <w:t>Normas y Criterios Operativos para la utilización de los Clasificadores Presupuestarios del Sector Público</w:t>
      </w:r>
      <w:r w:rsidR="00AA2227">
        <w:rPr>
          <w:rFonts w:ascii="Times New Roman" w:hAnsi="Times New Roman" w:cs="Times New Roman"/>
          <w:sz w:val="24"/>
          <w:szCs w:val="24"/>
        </w:rPr>
        <w:t xml:space="preserve"> Decreto Ejecutivo N°</w:t>
      </w:r>
      <w:r w:rsidR="00AA2227" w:rsidRPr="00922233">
        <w:rPr>
          <w:rFonts w:ascii="Times New Roman" w:hAnsi="Times New Roman" w:cs="Times New Roman"/>
          <w:sz w:val="24"/>
          <w:szCs w:val="24"/>
        </w:rPr>
        <w:t>41264</w:t>
      </w:r>
      <w:r w:rsidR="00AA2227">
        <w:rPr>
          <w:rFonts w:ascii="Times New Roman" w:hAnsi="Times New Roman" w:cs="Times New Roman"/>
          <w:sz w:val="24"/>
          <w:szCs w:val="24"/>
        </w:rPr>
        <w:t>.</w:t>
      </w:r>
    </w:p>
    <w:p w:rsidR="00922233" w:rsidRPr="00922233" w:rsidRDefault="00AA2227" w:rsidP="00B72F85">
      <w:pPr>
        <w:pStyle w:val="Prrafodelista"/>
        <w:numPr>
          <w:ilvl w:val="0"/>
          <w:numId w:val="8"/>
        </w:numPr>
        <w:autoSpaceDE w:val="0"/>
        <w:autoSpaceDN w:val="0"/>
        <w:adjustRightInd w:val="0"/>
        <w:spacing w:after="0" w:line="240" w:lineRule="auto"/>
        <w:ind w:left="924" w:hanging="357"/>
        <w:jc w:val="both"/>
        <w:rPr>
          <w:rFonts w:ascii="Times New Roman" w:hAnsi="Times New Roman" w:cs="Times New Roman"/>
          <w:sz w:val="24"/>
          <w:szCs w:val="24"/>
        </w:rPr>
      </w:pPr>
      <w:r>
        <w:rPr>
          <w:rFonts w:ascii="Times New Roman" w:hAnsi="Times New Roman" w:cs="Times New Roman"/>
          <w:sz w:val="24"/>
          <w:szCs w:val="24"/>
        </w:rPr>
        <w:t xml:space="preserve">Decreto Ejecutivo </w:t>
      </w:r>
      <w:r w:rsidRPr="00922233">
        <w:rPr>
          <w:rFonts w:ascii="Times New Roman" w:hAnsi="Times New Roman" w:cs="Times New Roman"/>
          <w:sz w:val="24"/>
          <w:szCs w:val="24"/>
        </w:rPr>
        <w:t>Contingencia Fiscal</w:t>
      </w:r>
      <w:r>
        <w:rPr>
          <w:rFonts w:ascii="Times New Roman" w:hAnsi="Times New Roman" w:cs="Times New Roman"/>
          <w:sz w:val="24"/>
          <w:szCs w:val="24"/>
        </w:rPr>
        <w:t xml:space="preserve"> N° </w:t>
      </w:r>
      <w:r w:rsidR="00922233" w:rsidRPr="00922233">
        <w:rPr>
          <w:rFonts w:ascii="Times New Roman" w:hAnsi="Times New Roman" w:cs="Times New Roman"/>
          <w:sz w:val="24"/>
          <w:szCs w:val="24"/>
        </w:rPr>
        <w:t>40540-H</w:t>
      </w:r>
      <w:r w:rsidR="00922233" w:rsidRPr="00922233">
        <w:rPr>
          <w:rFonts w:ascii="Times New Roman" w:hAnsi="Times New Roman" w:cs="Times New Roman"/>
          <w:sz w:val="24"/>
          <w:szCs w:val="24"/>
        </w:rPr>
        <w:tab/>
      </w:r>
    </w:p>
    <w:p w:rsidR="00922233" w:rsidRPr="00AA2227" w:rsidRDefault="00922233" w:rsidP="00B72F85">
      <w:pPr>
        <w:pStyle w:val="Prrafodelista"/>
        <w:numPr>
          <w:ilvl w:val="0"/>
          <w:numId w:val="8"/>
        </w:numPr>
        <w:autoSpaceDE w:val="0"/>
        <w:autoSpaceDN w:val="0"/>
        <w:adjustRightInd w:val="0"/>
        <w:spacing w:after="0" w:line="240" w:lineRule="auto"/>
        <w:ind w:left="924" w:hanging="357"/>
        <w:jc w:val="both"/>
        <w:rPr>
          <w:rFonts w:ascii="Times New Roman" w:hAnsi="Times New Roman" w:cs="Times New Roman"/>
          <w:sz w:val="24"/>
          <w:szCs w:val="24"/>
        </w:rPr>
      </w:pPr>
      <w:r w:rsidRPr="00922233">
        <w:rPr>
          <w:rFonts w:ascii="Times New Roman" w:hAnsi="Times New Roman" w:cs="Times New Roman"/>
          <w:sz w:val="24"/>
          <w:szCs w:val="24"/>
        </w:rPr>
        <w:t>Organización Adm</w:t>
      </w:r>
      <w:r w:rsidR="00AA2227">
        <w:rPr>
          <w:rFonts w:ascii="Times New Roman" w:hAnsi="Times New Roman" w:cs="Times New Roman"/>
          <w:sz w:val="24"/>
          <w:szCs w:val="24"/>
        </w:rPr>
        <w:t>.</w:t>
      </w:r>
      <w:r w:rsidRPr="00922233">
        <w:rPr>
          <w:rFonts w:ascii="Times New Roman" w:hAnsi="Times New Roman" w:cs="Times New Roman"/>
          <w:sz w:val="24"/>
          <w:szCs w:val="24"/>
        </w:rPr>
        <w:t xml:space="preserve"> de las Oficinas Centrales del MEP</w:t>
      </w:r>
      <w:r w:rsidR="00AA2227">
        <w:rPr>
          <w:rFonts w:ascii="Times New Roman" w:hAnsi="Times New Roman" w:cs="Times New Roman"/>
          <w:sz w:val="24"/>
          <w:szCs w:val="24"/>
        </w:rPr>
        <w:t>, Decreto Ejecutivo 38170.</w:t>
      </w:r>
    </w:p>
    <w:p w:rsidR="00922233" w:rsidRPr="00445511" w:rsidRDefault="00922233" w:rsidP="00DD5342">
      <w:pPr>
        <w:suppressAutoHyphens w:val="0"/>
        <w:autoSpaceDE w:val="0"/>
        <w:autoSpaceDN w:val="0"/>
        <w:adjustRightInd w:val="0"/>
        <w:jc w:val="both"/>
      </w:pPr>
    </w:p>
    <w:p w:rsidR="0027258B" w:rsidRPr="00445511" w:rsidRDefault="0027258B" w:rsidP="00DD5342">
      <w:pPr>
        <w:pStyle w:val="Ttulo3"/>
        <w:spacing w:before="0"/>
        <w:rPr>
          <w:rFonts w:cs="Times New Roman"/>
        </w:rPr>
      </w:pPr>
      <w:bookmarkStart w:id="8" w:name="_Toc14267892"/>
      <w:r w:rsidRPr="00445511">
        <w:rPr>
          <w:rFonts w:cs="Times New Roman"/>
        </w:rPr>
        <w:t>1.3.3 Antecedentes</w:t>
      </w:r>
      <w:bookmarkEnd w:id="8"/>
    </w:p>
    <w:p w:rsidR="00AA2227" w:rsidRDefault="00AA2227" w:rsidP="00AA2227">
      <w:pPr>
        <w:pStyle w:val="Sinespaciado"/>
        <w:jc w:val="both"/>
      </w:pPr>
      <w:r>
        <w:t>El DECEP inicia sus funciones a partir del 22 de enero del 2008, como uno de los dos nuevos departamentos de la Dirección Financiera, mediante el Decreto Ejecutivo Nº 34075. Este Decreto Ejecutivo fue derogado mediante el Decreto Ejecutivo N° 38170-MEP, manteniendo la esencia funcional.</w:t>
      </w:r>
    </w:p>
    <w:p w:rsidR="00AA2227" w:rsidRDefault="00AA2227" w:rsidP="00AA2227">
      <w:pPr>
        <w:pStyle w:val="Sinespaciado"/>
        <w:jc w:val="both"/>
      </w:pPr>
    </w:p>
    <w:p w:rsidR="0027258B" w:rsidRPr="00445511" w:rsidRDefault="00AA2227" w:rsidP="00AA2227">
      <w:pPr>
        <w:pStyle w:val="Sinespaciado"/>
        <w:jc w:val="both"/>
        <w:rPr>
          <w:highlight w:val="yellow"/>
        </w:rPr>
      </w:pPr>
      <w:r>
        <w:lastRenderedPageBreak/>
        <w:t>Este Departamento, nació como una dependencia que pudiera llevar el pulso de la ejecución presupuestaria</w:t>
      </w:r>
      <w:r w:rsidR="00542D9F">
        <w:t xml:space="preserve"> y que permitiera a la cartera M</w:t>
      </w:r>
      <w:r>
        <w:t>inisterial, disponer de información financiera contextualizada y actualizada para la toma de decisiones.</w:t>
      </w:r>
      <w:r w:rsidR="0027258B" w:rsidRPr="00445511">
        <w:rPr>
          <w:highlight w:val="yellow"/>
        </w:rPr>
        <w:t xml:space="preserve"> </w:t>
      </w:r>
    </w:p>
    <w:p w:rsidR="007F6EA6" w:rsidRPr="00445511" w:rsidRDefault="007F6EA6" w:rsidP="00DD5342">
      <w:pPr>
        <w:suppressAutoHyphens w:val="0"/>
        <w:autoSpaceDE w:val="0"/>
        <w:autoSpaceDN w:val="0"/>
        <w:adjustRightInd w:val="0"/>
      </w:pPr>
    </w:p>
    <w:p w:rsidR="00F97470" w:rsidRPr="00445511" w:rsidRDefault="00A15538" w:rsidP="00DD5342">
      <w:pPr>
        <w:pStyle w:val="Ttulo3"/>
        <w:numPr>
          <w:ilvl w:val="1"/>
          <w:numId w:val="7"/>
        </w:numPr>
        <w:rPr>
          <w:rFonts w:cs="Times New Roman"/>
        </w:rPr>
      </w:pPr>
      <w:bookmarkStart w:id="9" w:name="_Toc14267893"/>
      <w:r w:rsidRPr="00445511">
        <w:rPr>
          <w:rFonts w:cs="Times New Roman"/>
        </w:rPr>
        <w:t>Limitaciones</w:t>
      </w:r>
      <w:bookmarkEnd w:id="9"/>
    </w:p>
    <w:p w:rsidR="007F6EA6" w:rsidRPr="00AA2227" w:rsidRDefault="00AA2227" w:rsidP="00DD5342">
      <w:pPr>
        <w:jc w:val="both"/>
      </w:pPr>
      <w:r w:rsidRPr="00AA2227">
        <w:t xml:space="preserve">Como parte de las limitaciones para la realización del estudio, </w:t>
      </w:r>
      <w:r w:rsidR="004613F6">
        <w:t>corresponde a</w:t>
      </w:r>
      <w:r w:rsidRPr="00AA2227">
        <w:t xml:space="preserve"> la fecha en que se </w:t>
      </w:r>
      <w:r w:rsidR="004613F6" w:rsidRPr="00AA2227">
        <w:t>efectuó</w:t>
      </w:r>
      <w:r w:rsidRPr="00AA2227">
        <w:t xml:space="preserve">, por cuanto coincidió con la </w:t>
      </w:r>
      <w:r w:rsidR="00542D9F">
        <w:t>época de mayor movimiento por cierre y apertura del ejercicio presupuestario.</w:t>
      </w:r>
      <w:r w:rsidRPr="00AA2227">
        <w:t xml:space="preserve"> Adicional, no se obtuvo el acceso al sistema SIGAF.</w:t>
      </w:r>
    </w:p>
    <w:p w:rsidR="00AE7707" w:rsidRPr="00445511" w:rsidRDefault="00AE7707" w:rsidP="00DD5342">
      <w:pPr>
        <w:jc w:val="both"/>
      </w:pPr>
    </w:p>
    <w:p w:rsidR="00453D12" w:rsidRPr="00445511" w:rsidRDefault="00453D12" w:rsidP="00DD5342">
      <w:pPr>
        <w:pStyle w:val="Ttulo2"/>
        <w:spacing w:before="0" w:beforeAutospacing="0" w:after="0" w:afterAutospacing="0"/>
        <w:rPr>
          <w:szCs w:val="24"/>
        </w:rPr>
      </w:pPr>
      <w:bookmarkStart w:id="10" w:name="_Toc14267894"/>
      <w:r w:rsidRPr="00445511">
        <w:rPr>
          <w:szCs w:val="24"/>
        </w:rPr>
        <w:t>2. HALLAZGOS</w:t>
      </w:r>
      <w:bookmarkEnd w:id="10"/>
      <w:r w:rsidRPr="00445511">
        <w:rPr>
          <w:szCs w:val="24"/>
        </w:rPr>
        <w:t xml:space="preserve"> </w:t>
      </w:r>
    </w:p>
    <w:p w:rsidR="00AE7707" w:rsidRDefault="00AE7707" w:rsidP="00DD5342">
      <w:pPr>
        <w:jc w:val="both"/>
      </w:pPr>
    </w:p>
    <w:p w:rsidR="00B72F85" w:rsidRPr="00B72F85" w:rsidRDefault="00B72F85" w:rsidP="00DD5342">
      <w:pPr>
        <w:jc w:val="both"/>
        <w:rPr>
          <w:b/>
        </w:rPr>
      </w:pPr>
      <w:r w:rsidRPr="00B72F85">
        <w:rPr>
          <w:b/>
        </w:rPr>
        <w:t>2.1 Manuales de Procedimientos</w:t>
      </w:r>
    </w:p>
    <w:p w:rsidR="00B72F85" w:rsidRDefault="00B72F85" w:rsidP="00B72F85">
      <w:pPr>
        <w:jc w:val="both"/>
      </w:pPr>
      <w:r>
        <w:t xml:space="preserve">Como parte de la revisión correspondiente a los procesos que se ejecutan en el DECEP, se procedió a verificar la existencia de Manuales de Procedimientos, los cuales no se encuentran actualizados. </w:t>
      </w:r>
    </w:p>
    <w:p w:rsidR="00B72F85" w:rsidRDefault="00B72F85" w:rsidP="00B72F85">
      <w:pPr>
        <w:jc w:val="both"/>
      </w:pPr>
    </w:p>
    <w:p w:rsidR="00B72F85" w:rsidRDefault="00B72F85" w:rsidP="00B72F85">
      <w:pPr>
        <w:jc w:val="both"/>
      </w:pPr>
      <w:r>
        <w:t>Según el oficio DF-DECEP-0042-2019, emitido el 12 de febrero de 2019, la Jefe del DECEP le informa al Jefe del Departamento de Desarrollo y Gestión Financiera - ambos de la Dirección Financiera - sobre la actualización de la matriz de procesos, procedimientos y funciones. Dicha matriz, cuenta con un total de 5 procesos, los cuales se subdividen en 41 procedimientos</w:t>
      </w:r>
      <w:r w:rsidR="00542D9F">
        <w:t xml:space="preserve">. De estos, </w:t>
      </w:r>
      <w:r>
        <w:t>18 corresponden a la elaboración de nuevos procedimientos, 21 para actualización de los ya existentes y 2 para ser excluidos.</w:t>
      </w:r>
    </w:p>
    <w:p w:rsidR="00B72F85" w:rsidRDefault="00B72F85" w:rsidP="00B72F85">
      <w:pPr>
        <w:jc w:val="both"/>
      </w:pPr>
    </w:p>
    <w:p w:rsidR="00B72F85" w:rsidRDefault="00B72F85" w:rsidP="00B72F85">
      <w:pPr>
        <w:jc w:val="both"/>
      </w:pPr>
      <w:r>
        <w:t>Entre los grandes procesos se encuentra:</w:t>
      </w:r>
    </w:p>
    <w:p w:rsidR="00B72F85" w:rsidRDefault="00B72F85" w:rsidP="00B72F85">
      <w:pPr>
        <w:jc w:val="both"/>
      </w:pPr>
    </w:p>
    <w:p w:rsidR="00B72F85" w:rsidRPr="009F739D" w:rsidRDefault="00B72F85" w:rsidP="009F739D">
      <w:pPr>
        <w:pStyle w:val="Prrafodelista"/>
        <w:numPr>
          <w:ilvl w:val="0"/>
          <w:numId w:val="11"/>
        </w:numPr>
        <w:jc w:val="both"/>
        <w:rPr>
          <w:rFonts w:ascii="Times New Roman" w:hAnsi="Times New Roman" w:cs="Times New Roman"/>
          <w:sz w:val="24"/>
          <w:szCs w:val="24"/>
        </w:rPr>
      </w:pPr>
      <w:r w:rsidRPr="009F739D">
        <w:rPr>
          <w:rFonts w:ascii="Times New Roman" w:hAnsi="Times New Roman" w:cs="Times New Roman"/>
          <w:sz w:val="24"/>
          <w:szCs w:val="24"/>
        </w:rPr>
        <w:t xml:space="preserve">Programación financiera </w:t>
      </w:r>
      <w:r w:rsidR="00542D9F">
        <w:rPr>
          <w:rFonts w:ascii="Times New Roman" w:hAnsi="Times New Roman" w:cs="Times New Roman"/>
          <w:sz w:val="24"/>
          <w:szCs w:val="24"/>
        </w:rPr>
        <w:t>y flujo de efectivo</w:t>
      </w:r>
      <w:r w:rsidRPr="009F739D">
        <w:rPr>
          <w:rFonts w:ascii="Times New Roman" w:hAnsi="Times New Roman" w:cs="Times New Roman"/>
          <w:sz w:val="24"/>
          <w:szCs w:val="24"/>
        </w:rPr>
        <w:t>.</w:t>
      </w:r>
    </w:p>
    <w:p w:rsidR="00B72F85" w:rsidRPr="009F739D" w:rsidRDefault="00B72F85" w:rsidP="009F739D">
      <w:pPr>
        <w:pStyle w:val="Prrafodelista"/>
        <w:numPr>
          <w:ilvl w:val="0"/>
          <w:numId w:val="11"/>
        </w:numPr>
        <w:jc w:val="both"/>
        <w:rPr>
          <w:rFonts w:ascii="Times New Roman" w:hAnsi="Times New Roman" w:cs="Times New Roman"/>
          <w:sz w:val="24"/>
          <w:szCs w:val="24"/>
        </w:rPr>
      </w:pPr>
      <w:r w:rsidRPr="009F739D">
        <w:rPr>
          <w:rFonts w:ascii="Times New Roman" w:hAnsi="Times New Roman" w:cs="Times New Roman"/>
          <w:sz w:val="24"/>
          <w:szCs w:val="24"/>
        </w:rPr>
        <w:t>Medición y seguimiento de la ejecución presupuestaria</w:t>
      </w:r>
      <w:r w:rsidR="00542D9F">
        <w:rPr>
          <w:rFonts w:ascii="Times New Roman" w:hAnsi="Times New Roman" w:cs="Times New Roman"/>
          <w:sz w:val="24"/>
          <w:szCs w:val="24"/>
        </w:rPr>
        <w:t>.</w:t>
      </w:r>
    </w:p>
    <w:p w:rsidR="00B72F85" w:rsidRPr="009F739D" w:rsidRDefault="00B72F85" w:rsidP="009F739D">
      <w:pPr>
        <w:pStyle w:val="Prrafodelista"/>
        <w:numPr>
          <w:ilvl w:val="0"/>
          <w:numId w:val="11"/>
        </w:numPr>
        <w:jc w:val="both"/>
        <w:rPr>
          <w:rFonts w:ascii="Times New Roman" w:hAnsi="Times New Roman" w:cs="Times New Roman"/>
          <w:sz w:val="24"/>
          <w:szCs w:val="24"/>
        </w:rPr>
      </w:pPr>
      <w:r w:rsidRPr="009F739D">
        <w:rPr>
          <w:rFonts w:ascii="Times New Roman" w:hAnsi="Times New Roman" w:cs="Times New Roman"/>
          <w:sz w:val="24"/>
          <w:szCs w:val="24"/>
        </w:rPr>
        <w:t>Modificación presupuestaria</w:t>
      </w:r>
      <w:r w:rsidR="00542D9F">
        <w:rPr>
          <w:rFonts w:ascii="Times New Roman" w:hAnsi="Times New Roman" w:cs="Times New Roman"/>
          <w:sz w:val="24"/>
          <w:szCs w:val="24"/>
        </w:rPr>
        <w:t>.</w:t>
      </w:r>
    </w:p>
    <w:p w:rsidR="00B72F85" w:rsidRPr="009F739D" w:rsidRDefault="00B72F85" w:rsidP="009F739D">
      <w:pPr>
        <w:pStyle w:val="Prrafodelista"/>
        <w:numPr>
          <w:ilvl w:val="0"/>
          <w:numId w:val="11"/>
        </w:numPr>
        <w:jc w:val="both"/>
        <w:rPr>
          <w:rFonts w:ascii="Times New Roman" w:hAnsi="Times New Roman" w:cs="Times New Roman"/>
          <w:sz w:val="24"/>
          <w:szCs w:val="24"/>
        </w:rPr>
      </w:pPr>
      <w:r w:rsidRPr="009F739D">
        <w:rPr>
          <w:rFonts w:ascii="Times New Roman" w:hAnsi="Times New Roman" w:cs="Times New Roman"/>
          <w:sz w:val="24"/>
          <w:szCs w:val="24"/>
        </w:rPr>
        <w:t>Suministro de información financiera</w:t>
      </w:r>
      <w:r w:rsidR="00542D9F">
        <w:rPr>
          <w:rFonts w:ascii="Times New Roman" w:hAnsi="Times New Roman" w:cs="Times New Roman"/>
          <w:sz w:val="24"/>
          <w:szCs w:val="24"/>
        </w:rPr>
        <w:t>.</w:t>
      </w:r>
    </w:p>
    <w:p w:rsidR="00B72F85" w:rsidRDefault="00542D9F" w:rsidP="009F739D">
      <w:pPr>
        <w:pStyle w:val="Prrafodelista"/>
        <w:numPr>
          <w:ilvl w:val="0"/>
          <w:numId w:val="11"/>
        </w:numPr>
        <w:jc w:val="both"/>
      </w:pPr>
      <w:r>
        <w:rPr>
          <w:rFonts w:ascii="Times New Roman" w:hAnsi="Times New Roman" w:cs="Times New Roman"/>
          <w:sz w:val="24"/>
          <w:szCs w:val="24"/>
        </w:rPr>
        <w:t>Procesos a</w:t>
      </w:r>
      <w:r w:rsidR="00B72F85" w:rsidRPr="009F739D">
        <w:rPr>
          <w:rFonts w:ascii="Times New Roman" w:hAnsi="Times New Roman" w:cs="Times New Roman"/>
          <w:sz w:val="24"/>
          <w:szCs w:val="24"/>
        </w:rPr>
        <w:t>dministrativos</w:t>
      </w:r>
      <w:r>
        <w:rPr>
          <w:rFonts w:ascii="Times New Roman" w:hAnsi="Times New Roman" w:cs="Times New Roman"/>
          <w:sz w:val="24"/>
          <w:szCs w:val="24"/>
        </w:rPr>
        <w:t>.</w:t>
      </w:r>
    </w:p>
    <w:p w:rsidR="00B72F85" w:rsidRDefault="009F739D" w:rsidP="00B72F85">
      <w:pPr>
        <w:jc w:val="both"/>
      </w:pPr>
      <w:r>
        <w:t>C</w:t>
      </w:r>
      <w:r w:rsidR="00B72F85">
        <w:t xml:space="preserve">ada uno de estos procesos y según el requerimiento, </w:t>
      </w:r>
      <w:r>
        <w:t>cuenta con</w:t>
      </w:r>
      <w:r w:rsidR="00B72F85">
        <w:t xml:space="preserve"> un formulario, el cual es de uso obligatorio para las diferentes gestiones.</w:t>
      </w:r>
    </w:p>
    <w:p w:rsidR="00B72F85" w:rsidRDefault="00B72F85" w:rsidP="00B72F85">
      <w:pPr>
        <w:jc w:val="both"/>
      </w:pPr>
    </w:p>
    <w:p w:rsidR="009F739D" w:rsidRDefault="009F739D" w:rsidP="009F739D">
      <w:pPr>
        <w:jc w:val="both"/>
      </w:pPr>
      <w:r>
        <w:t>Según se establece en la Ley General N° 8292, específicamente en al artículo 15, inciso a), son</w:t>
      </w:r>
      <w:r w:rsidRPr="009F739D">
        <w:t xml:space="preserve"> deberes de los titulares subordinados</w:t>
      </w:r>
      <w:r>
        <w:t>:</w:t>
      </w:r>
      <w:r w:rsidRPr="009F739D">
        <w:t xml:space="preserve"> </w:t>
      </w:r>
      <w:r>
        <w:t>d</w:t>
      </w:r>
      <w:r w:rsidRPr="009F739D">
        <w:t>ocumentar, mantener actualizados y divulgar internamente, las políticas, las normas y los procedimientos de control que garanticen el cumplimiento del sistema de control interno institucional</w:t>
      </w:r>
      <w:r>
        <w:t xml:space="preserve">. </w:t>
      </w:r>
    </w:p>
    <w:p w:rsidR="009F739D" w:rsidRDefault="009F739D" w:rsidP="009F739D">
      <w:pPr>
        <w:jc w:val="both"/>
      </w:pPr>
    </w:p>
    <w:p w:rsidR="009F739D" w:rsidRDefault="009F739D" w:rsidP="009F739D">
      <w:pPr>
        <w:autoSpaceDE w:val="0"/>
        <w:autoSpaceDN w:val="0"/>
        <w:adjustRightInd w:val="0"/>
        <w:jc w:val="both"/>
      </w:pPr>
      <w:r>
        <w:t>Según indicaciones de la Jefe del DECEP, a pesar de que se ha venido trabajando en la actualización de dichos procedimientos y coordinando con el</w:t>
      </w:r>
      <w:r w:rsidRPr="00385FFD">
        <w:t xml:space="preserve"> Departamento de Desarrollo y Gestión Financiera</w:t>
      </w:r>
      <w:r>
        <w:t xml:space="preserve">; por circunstancias relacionadas a labores propias y urgentes que se presentan en la Dirección Financiera, ha impedido que se cumpla a cabalidad con dicha actualización. No obstante, es una tarea que se tienen programada para el periodo 2020. </w:t>
      </w:r>
    </w:p>
    <w:p w:rsidR="009F739D" w:rsidRDefault="009F739D" w:rsidP="009F739D">
      <w:pPr>
        <w:jc w:val="both"/>
      </w:pPr>
    </w:p>
    <w:p w:rsidR="009F739D" w:rsidRDefault="009F739D" w:rsidP="009F739D">
      <w:pPr>
        <w:autoSpaceDE w:val="0"/>
        <w:autoSpaceDN w:val="0"/>
        <w:adjustRightInd w:val="0"/>
        <w:jc w:val="both"/>
      </w:pPr>
      <w:r>
        <w:lastRenderedPageBreak/>
        <w:t xml:space="preserve">Esta situación podría repercutir en la correcta ejecución de actividades </w:t>
      </w:r>
      <w:r w:rsidR="002F5340">
        <w:t>asignadas a</w:t>
      </w:r>
      <w:r>
        <w:t xml:space="preserve"> funcionarios de nuevo ingreso, d</w:t>
      </w:r>
      <w:r w:rsidRPr="0074026B">
        <w:t xml:space="preserve">emoras al realizar labores </w:t>
      </w:r>
      <w:r>
        <w:t xml:space="preserve">cotidianas, </w:t>
      </w:r>
      <w:r w:rsidR="00542D9F">
        <w:t>asignación de</w:t>
      </w:r>
      <w:r>
        <w:t xml:space="preserve"> tareas y </w:t>
      </w:r>
      <w:r w:rsidR="00542D9F">
        <w:t>responsabilidades los funcionarios</w:t>
      </w:r>
      <w:r w:rsidRPr="009F739D">
        <w:t>.</w:t>
      </w:r>
    </w:p>
    <w:p w:rsidR="002F5340" w:rsidRDefault="002F5340" w:rsidP="009F739D">
      <w:pPr>
        <w:autoSpaceDE w:val="0"/>
        <w:autoSpaceDN w:val="0"/>
        <w:adjustRightInd w:val="0"/>
        <w:jc w:val="both"/>
      </w:pPr>
    </w:p>
    <w:p w:rsidR="00D82E6F" w:rsidRPr="00D82E6F" w:rsidRDefault="00D82E6F" w:rsidP="009F739D">
      <w:pPr>
        <w:autoSpaceDE w:val="0"/>
        <w:autoSpaceDN w:val="0"/>
        <w:adjustRightInd w:val="0"/>
        <w:jc w:val="both"/>
        <w:rPr>
          <w:b/>
        </w:rPr>
      </w:pPr>
      <w:r w:rsidRPr="00D82E6F">
        <w:rPr>
          <w:b/>
        </w:rPr>
        <w:t>2.2 Evaluación de riesgos</w:t>
      </w:r>
    </w:p>
    <w:p w:rsidR="00D82E6F" w:rsidRDefault="00D82E6F" w:rsidP="00D82E6F">
      <w:pPr>
        <w:jc w:val="both"/>
      </w:pPr>
      <w:r>
        <w:t xml:space="preserve">Mediante correo electrónico con fecha del 19 de julio de 2019, enviado a la jefatura del DECEP, se solicitó </w:t>
      </w:r>
      <w:r w:rsidRPr="00427E5E">
        <w:t xml:space="preserve">la última evaluación de riesgos efectuada </w:t>
      </w:r>
      <w:r>
        <w:t>en dicho Departamento. Según respuesta emitida por dicha jefatura, mediante correo electrónico del 30 de agosto de 2019, e</w:t>
      </w:r>
      <w:r w:rsidRPr="00D544C6">
        <w:t>l último proceso de evaluación integral de riesgos fue realizado en el año 2015</w:t>
      </w:r>
      <w:r>
        <w:t>, el cual consta de:</w:t>
      </w:r>
    </w:p>
    <w:p w:rsidR="00D82E6F" w:rsidRPr="00D82E6F" w:rsidRDefault="00D82E6F" w:rsidP="00D82E6F">
      <w:pPr>
        <w:pStyle w:val="Prrafodelista"/>
        <w:numPr>
          <w:ilvl w:val="0"/>
          <w:numId w:val="12"/>
        </w:numPr>
        <w:spacing w:after="0" w:line="240" w:lineRule="auto"/>
        <w:ind w:left="924" w:hanging="357"/>
        <w:jc w:val="both"/>
        <w:rPr>
          <w:rFonts w:ascii="Times New Roman" w:hAnsi="Times New Roman"/>
          <w:sz w:val="24"/>
          <w:szCs w:val="24"/>
        </w:rPr>
      </w:pPr>
      <w:r w:rsidRPr="00D82E6F">
        <w:rPr>
          <w:rFonts w:ascii="Times New Roman" w:hAnsi="Times New Roman"/>
          <w:sz w:val="24"/>
          <w:szCs w:val="24"/>
        </w:rPr>
        <w:t>Marco Conceptual.</w:t>
      </w:r>
    </w:p>
    <w:p w:rsidR="00D82E6F" w:rsidRPr="00D82E6F" w:rsidRDefault="00D82E6F" w:rsidP="00D82E6F">
      <w:pPr>
        <w:pStyle w:val="Prrafodelista"/>
        <w:numPr>
          <w:ilvl w:val="0"/>
          <w:numId w:val="12"/>
        </w:numPr>
        <w:spacing w:after="0" w:line="240" w:lineRule="auto"/>
        <w:ind w:left="924"/>
        <w:jc w:val="both"/>
        <w:rPr>
          <w:rFonts w:ascii="Times New Roman" w:hAnsi="Times New Roman"/>
          <w:sz w:val="24"/>
          <w:szCs w:val="24"/>
        </w:rPr>
      </w:pPr>
      <w:r w:rsidRPr="00D82E6F">
        <w:rPr>
          <w:rFonts w:ascii="Times New Roman" w:hAnsi="Times New Roman"/>
          <w:sz w:val="24"/>
          <w:szCs w:val="24"/>
        </w:rPr>
        <w:t>Metodología.</w:t>
      </w:r>
    </w:p>
    <w:p w:rsidR="00D82E6F" w:rsidRPr="00D82E6F" w:rsidRDefault="00D82E6F" w:rsidP="00D82E6F">
      <w:pPr>
        <w:pStyle w:val="Prrafodelista"/>
        <w:numPr>
          <w:ilvl w:val="0"/>
          <w:numId w:val="12"/>
        </w:numPr>
        <w:spacing w:after="0" w:line="240" w:lineRule="auto"/>
        <w:ind w:left="924"/>
        <w:jc w:val="both"/>
        <w:rPr>
          <w:rFonts w:ascii="Times New Roman" w:hAnsi="Times New Roman"/>
          <w:sz w:val="24"/>
          <w:szCs w:val="24"/>
        </w:rPr>
      </w:pPr>
      <w:r w:rsidRPr="00D82E6F">
        <w:rPr>
          <w:rFonts w:ascii="Times New Roman" w:hAnsi="Times New Roman"/>
          <w:sz w:val="24"/>
          <w:szCs w:val="24"/>
        </w:rPr>
        <w:t>Mapa de Riesgos de los procesos y procedimientos.</w:t>
      </w:r>
    </w:p>
    <w:p w:rsidR="00D82E6F" w:rsidRPr="00D544C6" w:rsidRDefault="00D82E6F" w:rsidP="00D82E6F">
      <w:pPr>
        <w:pStyle w:val="Prrafodelista"/>
        <w:numPr>
          <w:ilvl w:val="0"/>
          <w:numId w:val="12"/>
        </w:numPr>
        <w:spacing w:after="0" w:line="240" w:lineRule="auto"/>
        <w:ind w:left="924"/>
        <w:jc w:val="both"/>
        <w:rPr>
          <w:rFonts w:ascii="Times New Roman" w:hAnsi="Times New Roman"/>
        </w:rPr>
      </w:pPr>
      <w:r w:rsidRPr="00D82E6F">
        <w:rPr>
          <w:rFonts w:ascii="Times New Roman" w:hAnsi="Times New Roman"/>
          <w:sz w:val="24"/>
          <w:szCs w:val="24"/>
        </w:rPr>
        <w:t>Plan</w:t>
      </w:r>
      <w:r>
        <w:rPr>
          <w:rFonts w:ascii="Times New Roman" w:hAnsi="Times New Roman"/>
        </w:rPr>
        <w:t xml:space="preserve"> de manejo de la evaluación y administración de riesgos.</w:t>
      </w:r>
      <w:r w:rsidRPr="00D544C6">
        <w:rPr>
          <w:rFonts w:ascii="Times New Roman" w:hAnsi="Times New Roman"/>
        </w:rPr>
        <w:t xml:space="preserve"> </w:t>
      </w:r>
    </w:p>
    <w:p w:rsidR="00D82E6F" w:rsidRDefault="00D82E6F" w:rsidP="00D82E6F">
      <w:pPr>
        <w:jc w:val="both"/>
      </w:pPr>
    </w:p>
    <w:p w:rsidR="00D82E6F" w:rsidRDefault="00D82E6F" w:rsidP="00D82E6F">
      <w:pPr>
        <w:jc w:val="both"/>
      </w:pPr>
      <w:r>
        <w:t xml:space="preserve">Adicional, se exterioriza que </w:t>
      </w:r>
      <w:r w:rsidRPr="00D544C6">
        <w:t>cada año en el proceso de Planificación y Formulación del Anteproyecto de Presupuesto, se incluye en una de las actividades formales el análisis de riesgos asociados.</w:t>
      </w:r>
    </w:p>
    <w:p w:rsidR="00D82E6F" w:rsidRDefault="00D82E6F" w:rsidP="00D82E6F">
      <w:pPr>
        <w:jc w:val="both"/>
      </w:pPr>
    </w:p>
    <w:p w:rsidR="00D82E6F" w:rsidRDefault="00D82E6F" w:rsidP="00D82E6F">
      <w:pPr>
        <w:jc w:val="both"/>
      </w:pPr>
      <w:r>
        <w:t xml:space="preserve">Al respecto, </w:t>
      </w:r>
      <w:r w:rsidR="00C10FB4">
        <w:t xml:space="preserve">el artículo 14 de </w:t>
      </w:r>
      <w:r>
        <w:t>la Ley N° 8292</w:t>
      </w:r>
      <w:r w:rsidR="00C10FB4">
        <w:t>, señala entre los</w:t>
      </w:r>
      <w:r>
        <w:t xml:space="preserve"> deberes </w:t>
      </w:r>
      <w:r w:rsidR="00C10FB4">
        <w:t>de</w:t>
      </w:r>
      <w:r w:rsidR="00542D9F">
        <w:t xml:space="preserve"> los titulares subordinados:</w:t>
      </w:r>
      <w:r>
        <w:t xml:space="preserve"> </w:t>
      </w:r>
      <w:r w:rsidR="00C10FB4">
        <w:t xml:space="preserve">el identificar, analizar y establecer los mecanismos operativos; con el fin de mitigar </w:t>
      </w:r>
      <w:r>
        <w:t>los riesgos relevantes asociados al logro de los objetivos y las metas institucionales, para ubicarse en un nivel de riesgo organizacional aceptable.</w:t>
      </w:r>
    </w:p>
    <w:p w:rsidR="00855E75" w:rsidRDefault="00855E75" w:rsidP="00D82E6F">
      <w:pPr>
        <w:jc w:val="both"/>
      </w:pPr>
    </w:p>
    <w:p w:rsidR="00855E75" w:rsidRDefault="00855E75" w:rsidP="00855E75">
      <w:pPr>
        <w:autoSpaceDE w:val="0"/>
        <w:autoSpaceDN w:val="0"/>
        <w:adjustRightInd w:val="0"/>
        <w:jc w:val="both"/>
      </w:pPr>
      <w:r>
        <w:t xml:space="preserve">Durante los últimos años, el DECEP se ha enfocado en elaborar el proceso de evaluación de riesgos mediante el documento de </w:t>
      </w:r>
      <w:r w:rsidRPr="00FB2DB1">
        <w:t xml:space="preserve">Planificación y Formulación del Anteproyecto de Presupuesto, </w:t>
      </w:r>
      <w:r>
        <w:t xml:space="preserve">el cual </w:t>
      </w:r>
      <w:r w:rsidRPr="00FB2DB1">
        <w:t xml:space="preserve">incluye actividades </w:t>
      </w:r>
      <w:r>
        <w:t>de</w:t>
      </w:r>
      <w:r w:rsidRPr="00FB2DB1">
        <w:t xml:space="preserve"> análisis de riesgos</w:t>
      </w:r>
      <w:r>
        <w:t>, sin embargo, no realizó la evaluación de riesgos como tal</w:t>
      </w:r>
      <w:r w:rsidRPr="00FB2DB1">
        <w:t>.</w:t>
      </w:r>
    </w:p>
    <w:p w:rsidR="00855E75" w:rsidRDefault="00855E75" w:rsidP="00855E75">
      <w:pPr>
        <w:autoSpaceDE w:val="0"/>
        <w:autoSpaceDN w:val="0"/>
        <w:adjustRightInd w:val="0"/>
        <w:jc w:val="both"/>
      </w:pPr>
    </w:p>
    <w:p w:rsidR="00855E75" w:rsidRDefault="00855E75" w:rsidP="00855E75">
      <w:pPr>
        <w:autoSpaceDE w:val="0"/>
        <w:autoSpaceDN w:val="0"/>
        <w:adjustRightInd w:val="0"/>
        <w:jc w:val="both"/>
      </w:pPr>
      <w:r>
        <w:t xml:space="preserve">La carencia de una adecuada evaluación de riesgos, podría afectar el proceso de identificación, análisis y administración de los riesgos inherentes a las actividades diarias del </w:t>
      </w:r>
      <w:r w:rsidR="00542D9F">
        <w:t>Departamento en men</w:t>
      </w:r>
      <w:r w:rsidR="009D3AD4">
        <w:t>ción</w:t>
      </w:r>
      <w:r>
        <w:t>.</w:t>
      </w:r>
    </w:p>
    <w:p w:rsidR="00AE7707" w:rsidRDefault="00AE7707" w:rsidP="00DD5342">
      <w:pPr>
        <w:jc w:val="both"/>
      </w:pPr>
    </w:p>
    <w:p w:rsidR="00C41D66" w:rsidRPr="00C41D66" w:rsidRDefault="005E32AE" w:rsidP="00DD5342">
      <w:pPr>
        <w:jc w:val="both"/>
        <w:rPr>
          <w:b/>
        </w:rPr>
      </w:pPr>
      <w:r>
        <w:rPr>
          <w:b/>
        </w:rPr>
        <w:t>2.3</w:t>
      </w:r>
      <w:r w:rsidR="00C41D66" w:rsidRPr="00C41D66">
        <w:rPr>
          <w:b/>
        </w:rPr>
        <w:t xml:space="preserve"> Archivo </w:t>
      </w:r>
      <w:r w:rsidR="004A212E">
        <w:rPr>
          <w:b/>
        </w:rPr>
        <w:t>Digital</w:t>
      </w:r>
    </w:p>
    <w:p w:rsidR="00C41D66" w:rsidRDefault="00C41D66" w:rsidP="00DD5342">
      <w:pPr>
        <w:jc w:val="both"/>
      </w:pPr>
      <w:r>
        <w:t xml:space="preserve">Como parte del estudio realizado en el DECEP, se pudo observar que este Departamento mantiene toda su documentación en formato digital, debidamente respaldada en </w:t>
      </w:r>
      <w:r w:rsidR="000C1DC3">
        <w:t>un servidor administrado por la Dirección de Informática de Gestión (DIG)</w:t>
      </w:r>
      <w:r>
        <w:t>.</w:t>
      </w:r>
    </w:p>
    <w:p w:rsidR="00C41D66" w:rsidRDefault="00C41D66" w:rsidP="00DD5342">
      <w:pPr>
        <w:jc w:val="both"/>
      </w:pPr>
    </w:p>
    <w:p w:rsidR="00C41D66" w:rsidRDefault="00C41D66" w:rsidP="00DD5342">
      <w:pPr>
        <w:jc w:val="both"/>
      </w:pPr>
      <w:r>
        <w:t>Sin embargo, surge la duda sobre ¿cómo se está controlando dentro del MEP</w:t>
      </w:r>
      <w:r w:rsidR="00E70B0B">
        <w:t xml:space="preserve"> el</w:t>
      </w:r>
      <w:r>
        <w:t xml:space="preserve"> </w:t>
      </w:r>
      <w:r w:rsidR="00E70B0B" w:rsidRPr="00E70B0B">
        <w:t>proceso de registro, conservación y respaldo de los archivos digitales</w:t>
      </w:r>
      <w:r>
        <w:t xml:space="preserve">? Por tanto, mediante oficio </w:t>
      </w:r>
      <w:r w:rsidRPr="00C41D66">
        <w:t>AI-0052-2020</w:t>
      </w:r>
      <w:r>
        <w:t xml:space="preserve">, del 20 de enero de 2020, se le consultó a la Jefe del Archivo Central del MEP, sobre </w:t>
      </w:r>
      <w:r w:rsidR="00E70B0B">
        <w:t xml:space="preserve">las </w:t>
      </w:r>
      <w:r w:rsidR="000C4AB6">
        <w:t xml:space="preserve">políticas y </w:t>
      </w:r>
      <w:r w:rsidR="00E70B0B" w:rsidRPr="00E70B0B">
        <w:t>pr</w:t>
      </w:r>
      <w:r w:rsidR="00E70B0B">
        <w:t xml:space="preserve">ocedimientos, </w:t>
      </w:r>
      <w:r w:rsidR="00E70B0B" w:rsidRPr="00E70B0B">
        <w:t>sistema informático</w:t>
      </w:r>
      <w:r w:rsidR="00E70B0B">
        <w:t>, análisis de riesgos y planes de capacitación</w:t>
      </w:r>
      <w:r w:rsidR="000C4AB6">
        <w:t xml:space="preserve"> Institucional, para mitigar los riesgos en cuanto a la conservación de los archivos digitales</w:t>
      </w:r>
      <w:r w:rsidR="00E70B0B">
        <w:t>.</w:t>
      </w:r>
    </w:p>
    <w:p w:rsidR="0071114E" w:rsidRDefault="0071114E" w:rsidP="00DD5342">
      <w:pPr>
        <w:jc w:val="both"/>
      </w:pPr>
    </w:p>
    <w:p w:rsidR="000C4AB6" w:rsidRDefault="000C4AB6" w:rsidP="00DD5342">
      <w:pPr>
        <w:jc w:val="both"/>
      </w:pPr>
      <w:r>
        <w:lastRenderedPageBreak/>
        <w:t xml:space="preserve">Dicha consulta, fue respondida mediante oficio </w:t>
      </w:r>
      <w:r w:rsidRPr="000C4AB6">
        <w:t>DVM-A-AC-009-2020</w:t>
      </w:r>
      <w:r>
        <w:t>, del 24 de enero del presente, en la cual expone varios puntos:</w:t>
      </w:r>
    </w:p>
    <w:p w:rsidR="000C4AB6" w:rsidRPr="002B3F3F" w:rsidRDefault="000C4AB6" w:rsidP="00DD5342">
      <w:pPr>
        <w:jc w:val="both"/>
      </w:pPr>
    </w:p>
    <w:p w:rsidR="000C4AB6" w:rsidRDefault="002B3F3F" w:rsidP="002B3F3F">
      <w:pPr>
        <w:pStyle w:val="Prrafodelista"/>
        <w:numPr>
          <w:ilvl w:val="0"/>
          <w:numId w:val="13"/>
        </w:numPr>
        <w:ind w:left="924" w:hanging="357"/>
        <w:jc w:val="both"/>
        <w:rPr>
          <w:rFonts w:ascii="Times New Roman" w:hAnsi="Times New Roman" w:cs="Times New Roman"/>
          <w:sz w:val="24"/>
          <w:szCs w:val="24"/>
        </w:rPr>
      </w:pPr>
      <w:r>
        <w:rPr>
          <w:rFonts w:ascii="Times New Roman" w:hAnsi="Times New Roman" w:cs="Times New Roman"/>
          <w:sz w:val="24"/>
          <w:szCs w:val="24"/>
        </w:rPr>
        <w:t xml:space="preserve">Con respecto a los procedimientos, </w:t>
      </w:r>
      <w:r w:rsidRPr="002B3F3F">
        <w:rPr>
          <w:rFonts w:ascii="Times New Roman" w:hAnsi="Times New Roman" w:cs="Times New Roman"/>
          <w:sz w:val="24"/>
          <w:szCs w:val="24"/>
        </w:rPr>
        <w:t>el Manual de Gestión Documental del Ministerio de Educación Pública</w:t>
      </w:r>
      <w:r>
        <w:rPr>
          <w:rFonts w:ascii="Times New Roman" w:hAnsi="Times New Roman" w:cs="Times New Roman"/>
          <w:sz w:val="24"/>
          <w:szCs w:val="24"/>
        </w:rPr>
        <w:t xml:space="preserve">, </w:t>
      </w:r>
      <w:r w:rsidRPr="002B3F3F">
        <w:rPr>
          <w:rFonts w:ascii="Times New Roman" w:hAnsi="Times New Roman" w:cs="Times New Roman"/>
          <w:sz w:val="24"/>
          <w:szCs w:val="24"/>
        </w:rPr>
        <w:t xml:space="preserve">fue remitido a todos los funcionarios del MEP por medio de la Dirección de Prensa el 22 de marzo del 2018 y se indicó que es de acatamiento obligatorio. </w:t>
      </w:r>
    </w:p>
    <w:p w:rsidR="000C1DC3" w:rsidRDefault="000C1DC3" w:rsidP="000C1DC3">
      <w:pPr>
        <w:pStyle w:val="Prrafodelista"/>
        <w:ind w:left="924"/>
        <w:jc w:val="both"/>
        <w:rPr>
          <w:rFonts w:ascii="Times New Roman" w:hAnsi="Times New Roman" w:cs="Times New Roman"/>
          <w:sz w:val="24"/>
          <w:szCs w:val="24"/>
        </w:rPr>
      </w:pPr>
    </w:p>
    <w:p w:rsidR="000C1DC3" w:rsidRDefault="000C1DC3" w:rsidP="00404F7F">
      <w:pPr>
        <w:pStyle w:val="Prrafodelista"/>
        <w:numPr>
          <w:ilvl w:val="0"/>
          <w:numId w:val="13"/>
        </w:numPr>
        <w:ind w:left="924" w:hanging="357"/>
        <w:jc w:val="both"/>
        <w:rPr>
          <w:rFonts w:ascii="Times New Roman" w:hAnsi="Times New Roman" w:cs="Times New Roman"/>
          <w:sz w:val="24"/>
          <w:szCs w:val="24"/>
        </w:rPr>
      </w:pPr>
      <w:r>
        <w:rPr>
          <w:rFonts w:ascii="Times New Roman" w:hAnsi="Times New Roman" w:cs="Times New Roman"/>
          <w:sz w:val="24"/>
          <w:szCs w:val="24"/>
        </w:rPr>
        <w:t xml:space="preserve">De igual forma, </w:t>
      </w:r>
      <w:r w:rsidRPr="000C1DC3">
        <w:rPr>
          <w:rFonts w:ascii="Times New Roman" w:hAnsi="Times New Roman" w:cs="Times New Roman"/>
          <w:sz w:val="24"/>
          <w:szCs w:val="24"/>
        </w:rPr>
        <w:t>con la implementación del nuevo Manual se incluyó en el Formulario de Capacitación (FOCAP) del año 2018</w:t>
      </w:r>
      <w:r>
        <w:rPr>
          <w:rFonts w:ascii="Times New Roman" w:hAnsi="Times New Roman" w:cs="Times New Roman"/>
          <w:sz w:val="24"/>
          <w:szCs w:val="24"/>
        </w:rPr>
        <w:t>,</w:t>
      </w:r>
      <w:r w:rsidRPr="000C1DC3">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0C1DC3">
        <w:rPr>
          <w:rFonts w:ascii="Times New Roman" w:hAnsi="Times New Roman" w:cs="Times New Roman"/>
          <w:sz w:val="24"/>
          <w:szCs w:val="24"/>
        </w:rPr>
        <w:t>programa d</w:t>
      </w:r>
      <w:r>
        <w:rPr>
          <w:rFonts w:ascii="Times New Roman" w:hAnsi="Times New Roman" w:cs="Times New Roman"/>
          <w:sz w:val="24"/>
          <w:szCs w:val="24"/>
        </w:rPr>
        <w:t xml:space="preserve">el Taller de Gestión Documental, con </w:t>
      </w:r>
      <w:r w:rsidRPr="000C1DC3">
        <w:rPr>
          <w:rFonts w:ascii="Times New Roman" w:hAnsi="Times New Roman" w:cs="Times New Roman"/>
          <w:sz w:val="24"/>
          <w:szCs w:val="24"/>
        </w:rPr>
        <w:t xml:space="preserve">los contenidos sobre tema de la administración de los documentos digitales </w:t>
      </w:r>
      <w:r>
        <w:rPr>
          <w:rFonts w:ascii="Times New Roman" w:hAnsi="Times New Roman" w:cs="Times New Roman"/>
          <w:sz w:val="24"/>
          <w:szCs w:val="24"/>
        </w:rPr>
        <w:t>y se han efectuado valoraciones en conjunto con la DIG, para verificar la seguridad de los sistemas ya existentes, utilizados para digitalizar y respaldar la información.</w:t>
      </w:r>
    </w:p>
    <w:p w:rsidR="00AA3C0D" w:rsidRDefault="00AA3C0D" w:rsidP="00AA3C0D">
      <w:pPr>
        <w:pStyle w:val="Prrafodelista"/>
        <w:ind w:left="924"/>
        <w:jc w:val="both"/>
        <w:rPr>
          <w:rFonts w:ascii="Times New Roman" w:hAnsi="Times New Roman" w:cs="Times New Roman"/>
          <w:sz w:val="24"/>
          <w:szCs w:val="24"/>
        </w:rPr>
      </w:pPr>
    </w:p>
    <w:p w:rsidR="00AA3C0D" w:rsidRPr="0044347F" w:rsidRDefault="002B3F3F" w:rsidP="00400DA0">
      <w:pPr>
        <w:pStyle w:val="Prrafodelista"/>
        <w:numPr>
          <w:ilvl w:val="0"/>
          <w:numId w:val="13"/>
        </w:numPr>
        <w:ind w:left="924" w:hanging="357"/>
        <w:jc w:val="both"/>
        <w:rPr>
          <w:rFonts w:ascii="Times New Roman" w:hAnsi="Times New Roman" w:cs="Times New Roman"/>
          <w:sz w:val="24"/>
          <w:szCs w:val="24"/>
        </w:rPr>
      </w:pPr>
      <w:r w:rsidRPr="0044347F">
        <w:rPr>
          <w:rFonts w:ascii="Times New Roman" w:hAnsi="Times New Roman" w:cs="Times New Roman"/>
          <w:sz w:val="24"/>
          <w:szCs w:val="24"/>
        </w:rPr>
        <w:t xml:space="preserve">En cuanto a </w:t>
      </w:r>
      <w:r w:rsidR="000C1DC3" w:rsidRPr="0044347F">
        <w:rPr>
          <w:rFonts w:ascii="Times New Roman" w:hAnsi="Times New Roman" w:cs="Times New Roman"/>
          <w:sz w:val="24"/>
          <w:szCs w:val="24"/>
        </w:rPr>
        <w:t>la</w:t>
      </w:r>
      <w:r w:rsidRPr="0044347F">
        <w:rPr>
          <w:rFonts w:ascii="Times New Roman" w:hAnsi="Times New Roman" w:cs="Times New Roman"/>
          <w:sz w:val="24"/>
          <w:szCs w:val="24"/>
        </w:rPr>
        <w:t xml:space="preserve"> herramienta o sistema informático, para el respaldo de los documentos digitales que producen en las diferentes instancias del </w:t>
      </w:r>
      <w:r w:rsidR="000C1DC3" w:rsidRPr="0044347F">
        <w:rPr>
          <w:rFonts w:ascii="Times New Roman" w:hAnsi="Times New Roman" w:cs="Times New Roman"/>
          <w:sz w:val="24"/>
          <w:szCs w:val="24"/>
        </w:rPr>
        <w:t>Ministerio</w:t>
      </w:r>
      <w:r w:rsidRPr="0044347F">
        <w:rPr>
          <w:rFonts w:ascii="Times New Roman" w:hAnsi="Times New Roman" w:cs="Times New Roman"/>
          <w:sz w:val="24"/>
          <w:szCs w:val="24"/>
        </w:rPr>
        <w:t>, el Archivo Central desde el año 2017 propuso un proyecto ante la Dirección de Informática de Gestión, con el objetivo de disponer con un repositorio digital.</w:t>
      </w:r>
      <w:r w:rsidR="0044347F" w:rsidRPr="0044347F">
        <w:rPr>
          <w:rFonts w:ascii="Times New Roman" w:hAnsi="Times New Roman" w:cs="Times New Roman"/>
          <w:sz w:val="24"/>
          <w:szCs w:val="24"/>
        </w:rPr>
        <w:t xml:space="preserve"> </w:t>
      </w:r>
      <w:r w:rsidR="00AA3C0D" w:rsidRPr="0044347F">
        <w:rPr>
          <w:rFonts w:ascii="Times New Roman" w:hAnsi="Times New Roman" w:cs="Times New Roman"/>
          <w:sz w:val="24"/>
          <w:szCs w:val="24"/>
        </w:rPr>
        <w:t xml:space="preserve">Sin embargo, la Oficina de Proyectos de la </w:t>
      </w:r>
      <w:r w:rsidR="000C1DC3" w:rsidRPr="0044347F">
        <w:rPr>
          <w:rFonts w:ascii="Times New Roman" w:hAnsi="Times New Roman" w:cs="Times New Roman"/>
          <w:sz w:val="24"/>
          <w:szCs w:val="24"/>
        </w:rPr>
        <w:t>DIG</w:t>
      </w:r>
      <w:r w:rsidR="00AA3C0D" w:rsidRPr="0044347F">
        <w:rPr>
          <w:rFonts w:ascii="Times New Roman" w:hAnsi="Times New Roman" w:cs="Times New Roman"/>
          <w:sz w:val="24"/>
          <w:szCs w:val="24"/>
        </w:rPr>
        <w:t xml:space="preserve">, </w:t>
      </w:r>
      <w:r w:rsidR="0044347F">
        <w:rPr>
          <w:rFonts w:ascii="Times New Roman" w:hAnsi="Times New Roman" w:cs="Times New Roman"/>
          <w:sz w:val="24"/>
          <w:szCs w:val="24"/>
        </w:rPr>
        <w:t>mediante</w:t>
      </w:r>
      <w:r w:rsidR="00AA3C0D" w:rsidRPr="0044347F">
        <w:rPr>
          <w:rFonts w:ascii="Times New Roman" w:hAnsi="Times New Roman" w:cs="Times New Roman"/>
          <w:sz w:val="24"/>
          <w:szCs w:val="24"/>
        </w:rPr>
        <w:t xml:space="preserve"> informe de Análisis de Factibilidad Técnica N°DIG-FOR-02-OP-01</w:t>
      </w:r>
      <w:r w:rsidR="006A712C" w:rsidRPr="0044347F">
        <w:rPr>
          <w:rFonts w:ascii="Times New Roman" w:hAnsi="Times New Roman" w:cs="Times New Roman"/>
          <w:sz w:val="24"/>
          <w:szCs w:val="24"/>
        </w:rPr>
        <w:t>,</w:t>
      </w:r>
      <w:r w:rsidR="00AA3C0D" w:rsidRPr="0044347F">
        <w:rPr>
          <w:rFonts w:ascii="Times New Roman" w:hAnsi="Times New Roman" w:cs="Times New Roman"/>
          <w:sz w:val="24"/>
          <w:szCs w:val="24"/>
        </w:rPr>
        <w:t xml:space="preserve"> consideraba no viable</w:t>
      </w:r>
      <w:r w:rsidR="0044347F">
        <w:rPr>
          <w:rFonts w:ascii="Times New Roman" w:hAnsi="Times New Roman" w:cs="Times New Roman"/>
          <w:sz w:val="24"/>
          <w:szCs w:val="24"/>
        </w:rPr>
        <w:t xml:space="preserve"> la contratación del </w:t>
      </w:r>
      <w:r w:rsidR="0044347F" w:rsidRPr="0044347F">
        <w:rPr>
          <w:rFonts w:ascii="Times New Roman" w:hAnsi="Times New Roman" w:cs="Times New Roman"/>
          <w:sz w:val="24"/>
          <w:szCs w:val="24"/>
        </w:rPr>
        <w:t xml:space="preserve">software </w:t>
      </w:r>
      <w:r w:rsidR="0044347F">
        <w:rPr>
          <w:rFonts w:ascii="Times New Roman" w:hAnsi="Times New Roman" w:cs="Times New Roman"/>
          <w:sz w:val="24"/>
          <w:szCs w:val="24"/>
        </w:rPr>
        <w:t xml:space="preserve">“Arca” </w:t>
      </w:r>
      <w:r w:rsidR="0044347F" w:rsidRPr="0044347F">
        <w:rPr>
          <w:rFonts w:ascii="Times New Roman" w:hAnsi="Times New Roman" w:cs="Times New Roman"/>
          <w:sz w:val="24"/>
          <w:szCs w:val="24"/>
        </w:rPr>
        <w:t xml:space="preserve">de </w:t>
      </w:r>
      <w:r w:rsidR="009B6CD5">
        <w:rPr>
          <w:rFonts w:ascii="Times New Roman" w:hAnsi="Times New Roman" w:cs="Times New Roman"/>
          <w:sz w:val="24"/>
          <w:szCs w:val="24"/>
        </w:rPr>
        <w:t>la</w:t>
      </w:r>
      <w:r w:rsidR="0044347F" w:rsidRPr="0044347F">
        <w:rPr>
          <w:rFonts w:ascii="Times New Roman" w:hAnsi="Times New Roman" w:cs="Times New Roman"/>
          <w:sz w:val="24"/>
          <w:szCs w:val="24"/>
        </w:rPr>
        <w:t xml:space="preserve"> empresa Business Integrators Systems S.R.L</w:t>
      </w:r>
      <w:r w:rsidR="009B6CD5">
        <w:rPr>
          <w:rFonts w:ascii="Times New Roman" w:hAnsi="Times New Roman" w:cs="Times New Roman"/>
          <w:sz w:val="24"/>
          <w:szCs w:val="24"/>
        </w:rPr>
        <w:t>.</w:t>
      </w:r>
    </w:p>
    <w:p w:rsidR="00BE242E" w:rsidRDefault="00BE242E" w:rsidP="00AA3C0D">
      <w:pPr>
        <w:pStyle w:val="Prrafodelista"/>
        <w:ind w:left="924"/>
        <w:jc w:val="both"/>
        <w:rPr>
          <w:rFonts w:ascii="Times New Roman" w:hAnsi="Times New Roman" w:cs="Times New Roman"/>
          <w:sz w:val="24"/>
          <w:szCs w:val="24"/>
        </w:rPr>
      </w:pPr>
    </w:p>
    <w:p w:rsidR="009B6CD5" w:rsidRPr="00D0124C" w:rsidRDefault="009B6CD5" w:rsidP="00D0124C">
      <w:pPr>
        <w:pStyle w:val="Prrafodelista"/>
        <w:ind w:left="924"/>
        <w:jc w:val="both"/>
        <w:rPr>
          <w:rFonts w:ascii="Times New Roman" w:hAnsi="Times New Roman" w:cs="Times New Roman"/>
          <w:sz w:val="24"/>
          <w:szCs w:val="24"/>
        </w:rPr>
      </w:pPr>
      <w:r>
        <w:rPr>
          <w:rFonts w:ascii="Times New Roman" w:hAnsi="Times New Roman" w:cs="Times New Roman"/>
          <w:sz w:val="24"/>
          <w:szCs w:val="24"/>
        </w:rPr>
        <w:t>Por lo anterior</w:t>
      </w:r>
      <w:r w:rsidR="00BE242E" w:rsidRPr="00BE242E">
        <w:rPr>
          <w:rFonts w:ascii="Times New Roman" w:hAnsi="Times New Roman" w:cs="Times New Roman"/>
          <w:sz w:val="24"/>
          <w:szCs w:val="24"/>
        </w:rPr>
        <w:t xml:space="preserve">, </w:t>
      </w:r>
      <w:r w:rsidR="00BE242E">
        <w:rPr>
          <w:rFonts w:ascii="Times New Roman" w:hAnsi="Times New Roman" w:cs="Times New Roman"/>
          <w:sz w:val="24"/>
          <w:szCs w:val="24"/>
        </w:rPr>
        <w:t>s</w:t>
      </w:r>
      <w:r w:rsidR="00BE242E" w:rsidRPr="00BE242E">
        <w:rPr>
          <w:rFonts w:ascii="Times New Roman" w:hAnsi="Times New Roman" w:cs="Times New Roman"/>
          <w:sz w:val="24"/>
          <w:szCs w:val="24"/>
        </w:rPr>
        <w:t xml:space="preserve">e analizó </w:t>
      </w:r>
      <w:r w:rsidR="0044347F">
        <w:rPr>
          <w:rFonts w:ascii="Times New Roman" w:hAnsi="Times New Roman" w:cs="Times New Roman"/>
          <w:sz w:val="24"/>
          <w:szCs w:val="24"/>
        </w:rPr>
        <w:t>una</w:t>
      </w:r>
      <w:r w:rsidR="00BE242E" w:rsidRPr="00BE242E">
        <w:rPr>
          <w:rFonts w:ascii="Times New Roman" w:hAnsi="Times New Roman" w:cs="Times New Roman"/>
          <w:sz w:val="24"/>
          <w:szCs w:val="24"/>
        </w:rPr>
        <w:t xml:space="preserve"> oferta del Archivo Nacional para arrendar un repositorio llamado </w:t>
      </w:r>
      <w:r w:rsidR="0044347F">
        <w:rPr>
          <w:rFonts w:ascii="Times New Roman" w:hAnsi="Times New Roman" w:cs="Times New Roman"/>
          <w:sz w:val="24"/>
          <w:szCs w:val="24"/>
        </w:rPr>
        <w:t>“</w:t>
      </w:r>
      <w:r w:rsidR="00BE242E" w:rsidRPr="00BE242E">
        <w:rPr>
          <w:rFonts w:ascii="Times New Roman" w:hAnsi="Times New Roman" w:cs="Times New Roman"/>
          <w:sz w:val="24"/>
          <w:szCs w:val="24"/>
        </w:rPr>
        <w:t>Archivo Digital Nacional</w:t>
      </w:r>
      <w:r w:rsidR="0044347F">
        <w:rPr>
          <w:rFonts w:ascii="Times New Roman" w:hAnsi="Times New Roman" w:cs="Times New Roman"/>
          <w:sz w:val="24"/>
          <w:szCs w:val="24"/>
        </w:rPr>
        <w:t>”</w:t>
      </w:r>
      <w:r w:rsidR="00BE242E" w:rsidRPr="00BE242E">
        <w:rPr>
          <w:rFonts w:ascii="Times New Roman" w:hAnsi="Times New Roman" w:cs="Times New Roman"/>
          <w:sz w:val="24"/>
          <w:szCs w:val="24"/>
        </w:rPr>
        <w:t xml:space="preserve"> (ADN), </w:t>
      </w:r>
      <w:r>
        <w:rPr>
          <w:rFonts w:ascii="Times New Roman" w:hAnsi="Times New Roman" w:cs="Times New Roman"/>
          <w:sz w:val="24"/>
          <w:szCs w:val="24"/>
        </w:rPr>
        <w:t xml:space="preserve">el cual tiene un costo de </w:t>
      </w:r>
      <w:r w:rsidRPr="00BE242E">
        <w:rPr>
          <w:rFonts w:ascii="Times New Roman" w:hAnsi="Times New Roman" w:cs="Times New Roman"/>
          <w:sz w:val="24"/>
          <w:szCs w:val="24"/>
        </w:rPr>
        <w:t>$2</w:t>
      </w:r>
      <w:r>
        <w:rPr>
          <w:rFonts w:ascii="Times New Roman" w:hAnsi="Times New Roman" w:cs="Times New Roman"/>
          <w:sz w:val="24"/>
          <w:szCs w:val="24"/>
        </w:rPr>
        <w:t>.</w:t>
      </w:r>
      <w:r w:rsidRPr="00BE242E">
        <w:rPr>
          <w:rFonts w:ascii="Times New Roman" w:hAnsi="Times New Roman" w:cs="Times New Roman"/>
          <w:sz w:val="24"/>
          <w:szCs w:val="24"/>
        </w:rPr>
        <w:t>500</w:t>
      </w:r>
      <w:r>
        <w:rPr>
          <w:rFonts w:ascii="Times New Roman" w:hAnsi="Times New Roman" w:cs="Times New Roman"/>
          <w:sz w:val="24"/>
          <w:szCs w:val="24"/>
        </w:rPr>
        <w:t>°°</w:t>
      </w:r>
      <w:r w:rsidRPr="00BE242E">
        <w:rPr>
          <w:rFonts w:ascii="Times New Roman" w:hAnsi="Times New Roman" w:cs="Times New Roman"/>
          <w:sz w:val="24"/>
          <w:szCs w:val="24"/>
        </w:rPr>
        <w:t xml:space="preserve"> </w:t>
      </w:r>
      <w:r>
        <w:rPr>
          <w:rFonts w:ascii="Times New Roman" w:hAnsi="Times New Roman" w:cs="Times New Roman"/>
          <w:sz w:val="24"/>
          <w:szCs w:val="24"/>
        </w:rPr>
        <w:t>mensual</w:t>
      </w:r>
      <w:r w:rsidRPr="00BE242E">
        <w:rPr>
          <w:rFonts w:ascii="Times New Roman" w:hAnsi="Times New Roman" w:cs="Times New Roman"/>
          <w:sz w:val="24"/>
          <w:szCs w:val="24"/>
        </w:rPr>
        <w:t xml:space="preserve"> con dos TB de almacenamiento y $300 por mes por cada TB adicional</w:t>
      </w:r>
      <w:r>
        <w:rPr>
          <w:rFonts w:ascii="Times New Roman" w:hAnsi="Times New Roman" w:cs="Times New Roman"/>
          <w:sz w:val="24"/>
          <w:szCs w:val="24"/>
        </w:rPr>
        <w:t xml:space="preserve">; opción </w:t>
      </w:r>
      <w:r w:rsidR="0071114E">
        <w:rPr>
          <w:rFonts w:ascii="Times New Roman" w:hAnsi="Times New Roman" w:cs="Times New Roman"/>
          <w:sz w:val="24"/>
          <w:szCs w:val="24"/>
        </w:rPr>
        <w:t>parcialmente avalada</w:t>
      </w:r>
      <w:r>
        <w:rPr>
          <w:rFonts w:ascii="Times New Roman" w:hAnsi="Times New Roman" w:cs="Times New Roman"/>
          <w:sz w:val="24"/>
          <w:szCs w:val="24"/>
        </w:rPr>
        <w:t xml:space="preserve"> por la DIG, </w:t>
      </w:r>
      <w:r w:rsidRPr="00BE242E">
        <w:rPr>
          <w:rFonts w:ascii="Times New Roman" w:hAnsi="Times New Roman" w:cs="Times New Roman"/>
          <w:sz w:val="24"/>
          <w:szCs w:val="24"/>
        </w:rPr>
        <w:t xml:space="preserve">por ser </w:t>
      </w:r>
      <w:r>
        <w:rPr>
          <w:rFonts w:ascii="Times New Roman" w:hAnsi="Times New Roman" w:cs="Times New Roman"/>
          <w:sz w:val="24"/>
          <w:szCs w:val="24"/>
        </w:rPr>
        <w:t>d</w:t>
      </w:r>
      <w:r w:rsidRPr="00BE242E">
        <w:rPr>
          <w:rFonts w:ascii="Times New Roman" w:hAnsi="Times New Roman" w:cs="Times New Roman"/>
          <w:sz w:val="24"/>
          <w:szCs w:val="24"/>
        </w:rPr>
        <w:t xml:space="preserve">el órgano rector y las ventajas que </w:t>
      </w:r>
      <w:r>
        <w:rPr>
          <w:rFonts w:ascii="Times New Roman" w:hAnsi="Times New Roman" w:cs="Times New Roman"/>
          <w:sz w:val="24"/>
          <w:szCs w:val="24"/>
        </w:rPr>
        <w:t>ofrece</w:t>
      </w:r>
      <w:r w:rsidRPr="00BE242E">
        <w:rPr>
          <w:rFonts w:ascii="Times New Roman" w:hAnsi="Times New Roman" w:cs="Times New Roman"/>
          <w:sz w:val="24"/>
          <w:szCs w:val="24"/>
        </w:rPr>
        <w:t xml:space="preserve"> como</w:t>
      </w:r>
      <w:r w:rsidR="00764985">
        <w:rPr>
          <w:rFonts w:ascii="Times New Roman" w:hAnsi="Times New Roman" w:cs="Times New Roman"/>
          <w:sz w:val="24"/>
          <w:szCs w:val="24"/>
        </w:rPr>
        <w:t>:</w:t>
      </w:r>
      <w:r w:rsidRPr="00BE242E">
        <w:rPr>
          <w:rFonts w:ascii="Times New Roman" w:hAnsi="Times New Roman" w:cs="Times New Roman"/>
          <w:sz w:val="24"/>
          <w:szCs w:val="24"/>
        </w:rPr>
        <w:t xml:space="preserve"> implementación de la normalización archivística, la actualización del sistema, </w:t>
      </w:r>
      <w:r>
        <w:rPr>
          <w:rFonts w:ascii="Times New Roman" w:hAnsi="Times New Roman" w:cs="Times New Roman"/>
          <w:sz w:val="24"/>
          <w:szCs w:val="24"/>
        </w:rPr>
        <w:t>proceso</w:t>
      </w:r>
      <w:r w:rsidRPr="00BE242E">
        <w:rPr>
          <w:rFonts w:ascii="Times New Roman" w:hAnsi="Times New Roman" w:cs="Times New Roman"/>
          <w:sz w:val="24"/>
          <w:szCs w:val="24"/>
        </w:rPr>
        <w:t xml:space="preserve"> de contratación y la permanencia de la información con el tiempo.</w:t>
      </w:r>
      <w:r w:rsidR="0033703C" w:rsidRPr="0033703C">
        <w:rPr>
          <w:rFonts w:ascii="Times New Roman" w:hAnsi="Times New Roman" w:cs="Times New Roman"/>
          <w:sz w:val="24"/>
          <w:szCs w:val="24"/>
        </w:rPr>
        <w:t xml:space="preserve"> </w:t>
      </w:r>
      <w:r w:rsidR="0033703C" w:rsidRPr="00D0124C">
        <w:rPr>
          <w:rFonts w:ascii="Times New Roman" w:hAnsi="Times New Roman" w:cs="Times New Roman"/>
          <w:sz w:val="24"/>
          <w:szCs w:val="24"/>
        </w:rPr>
        <w:t>No obstante, indica</w:t>
      </w:r>
      <w:r w:rsidR="00D0124C">
        <w:rPr>
          <w:rFonts w:ascii="Times New Roman" w:hAnsi="Times New Roman" w:cs="Times New Roman"/>
          <w:sz w:val="24"/>
          <w:szCs w:val="24"/>
        </w:rPr>
        <w:t xml:space="preserve"> el Archivo Central </w:t>
      </w:r>
      <w:r w:rsidR="0066038F">
        <w:rPr>
          <w:rFonts w:ascii="Times New Roman" w:hAnsi="Times New Roman" w:cs="Times New Roman"/>
          <w:sz w:val="24"/>
          <w:szCs w:val="24"/>
        </w:rPr>
        <w:t xml:space="preserve">que </w:t>
      </w:r>
      <w:r w:rsidR="0066038F" w:rsidRPr="00D0124C">
        <w:rPr>
          <w:rFonts w:ascii="Times New Roman" w:hAnsi="Times New Roman" w:cs="Times New Roman"/>
          <w:sz w:val="24"/>
          <w:szCs w:val="24"/>
        </w:rPr>
        <w:t>no</w:t>
      </w:r>
      <w:r w:rsidR="0033703C" w:rsidRPr="00D0124C">
        <w:rPr>
          <w:rFonts w:ascii="Times New Roman" w:hAnsi="Times New Roman" w:cs="Times New Roman"/>
          <w:sz w:val="24"/>
          <w:szCs w:val="24"/>
        </w:rPr>
        <w:t xml:space="preserve"> cuenta con presupuesto</w:t>
      </w:r>
      <w:r w:rsidR="00D0124C">
        <w:rPr>
          <w:rFonts w:ascii="Times New Roman" w:hAnsi="Times New Roman" w:cs="Times New Roman"/>
          <w:sz w:val="24"/>
          <w:szCs w:val="24"/>
        </w:rPr>
        <w:t xml:space="preserve"> para dicha contratación.</w:t>
      </w:r>
      <w:r w:rsidR="0033703C" w:rsidRPr="00D0124C">
        <w:rPr>
          <w:rFonts w:ascii="Times New Roman" w:hAnsi="Times New Roman" w:cs="Times New Roman"/>
          <w:sz w:val="24"/>
          <w:szCs w:val="24"/>
        </w:rPr>
        <w:t xml:space="preserve"> </w:t>
      </w:r>
    </w:p>
    <w:p w:rsidR="0033703C" w:rsidRDefault="0033703C" w:rsidP="00AA3C0D">
      <w:pPr>
        <w:pStyle w:val="Prrafodelista"/>
        <w:ind w:left="924"/>
        <w:jc w:val="both"/>
        <w:rPr>
          <w:rFonts w:ascii="Times New Roman" w:hAnsi="Times New Roman" w:cs="Times New Roman"/>
          <w:sz w:val="24"/>
          <w:szCs w:val="24"/>
        </w:rPr>
      </w:pPr>
    </w:p>
    <w:p w:rsidR="00BE242E" w:rsidRDefault="0033703C" w:rsidP="00AA3C0D">
      <w:pPr>
        <w:pStyle w:val="Prrafodelista"/>
        <w:ind w:left="924"/>
        <w:jc w:val="both"/>
        <w:rPr>
          <w:rFonts w:ascii="Times New Roman" w:hAnsi="Times New Roman" w:cs="Times New Roman"/>
          <w:sz w:val="24"/>
          <w:szCs w:val="24"/>
        </w:rPr>
      </w:pPr>
      <w:r>
        <w:rPr>
          <w:rFonts w:ascii="Times New Roman" w:hAnsi="Times New Roman" w:cs="Times New Roman"/>
          <w:sz w:val="24"/>
          <w:szCs w:val="24"/>
        </w:rPr>
        <w:t xml:space="preserve">Cabe destacar, que en la reunión para conocer el sistema en mención, se contó con la presencia del </w:t>
      </w:r>
      <w:r w:rsidR="00294FBD">
        <w:rPr>
          <w:rFonts w:ascii="Times New Roman" w:hAnsi="Times New Roman" w:cs="Times New Roman"/>
          <w:sz w:val="24"/>
          <w:szCs w:val="24"/>
        </w:rPr>
        <w:t xml:space="preserve">Lic. </w:t>
      </w:r>
      <w:r w:rsidR="00BE242E" w:rsidRPr="00BE242E">
        <w:rPr>
          <w:rFonts w:ascii="Times New Roman" w:hAnsi="Times New Roman" w:cs="Times New Roman"/>
          <w:sz w:val="24"/>
          <w:szCs w:val="24"/>
        </w:rPr>
        <w:t xml:space="preserve">Steven González </w:t>
      </w:r>
      <w:r w:rsidR="00294FBD">
        <w:rPr>
          <w:rFonts w:ascii="Times New Roman" w:hAnsi="Times New Roman" w:cs="Times New Roman"/>
          <w:sz w:val="24"/>
          <w:szCs w:val="24"/>
        </w:rPr>
        <w:t>Viceministro Administrativo</w:t>
      </w:r>
      <w:r w:rsidR="00BE242E" w:rsidRPr="00BE242E">
        <w:rPr>
          <w:rFonts w:ascii="Times New Roman" w:hAnsi="Times New Roman" w:cs="Times New Roman"/>
          <w:sz w:val="24"/>
          <w:szCs w:val="24"/>
        </w:rPr>
        <w:t xml:space="preserve">, </w:t>
      </w:r>
      <w:r w:rsidR="0044347F">
        <w:rPr>
          <w:rFonts w:ascii="Times New Roman" w:hAnsi="Times New Roman" w:cs="Times New Roman"/>
          <w:sz w:val="24"/>
          <w:szCs w:val="24"/>
        </w:rPr>
        <w:t>Ing</w:t>
      </w:r>
      <w:r w:rsidR="00294FBD">
        <w:rPr>
          <w:rFonts w:ascii="Times New Roman" w:hAnsi="Times New Roman" w:cs="Times New Roman"/>
          <w:sz w:val="24"/>
          <w:szCs w:val="24"/>
        </w:rPr>
        <w:t xml:space="preserve">. Alberto Orozco </w:t>
      </w:r>
      <w:r w:rsidR="00BE242E" w:rsidRPr="00BE242E">
        <w:rPr>
          <w:rFonts w:ascii="Times New Roman" w:hAnsi="Times New Roman" w:cs="Times New Roman"/>
          <w:sz w:val="24"/>
          <w:szCs w:val="24"/>
        </w:rPr>
        <w:t xml:space="preserve">Director de Informática, </w:t>
      </w:r>
      <w:r w:rsidR="00B511EF">
        <w:rPr>
          <w:rFonts w:ascii="Times New Roman" w:hAnsi="Times New Roman" w:cs="Times New Roman"/>
          <w:sz w:val="24"/>
          <w:szCs w:val="24"/>
        </w:rPr>
        <w:t>Sr. Alexander Barquero</w:t>
      </w:r>
      <w:r w:rsidR="0044347F" w:rsidRPr="00BE242E">
        <w:rPr>
          <w:rFonts w:ascii="Times New Roman" w:hAnsi="Times New Roman" w:cs="Times New Roman"/>
          <w:sz w:val="24"/>
          <w:szCs w:val="24"/>
        </w:rPr>
        <w:t xml:space="preserve"> Director General </w:t>
      </w:r>
      <w:r w:rsidR="0044347F">
        <w:rPr>
          <w:rFonts w:ascii="Times New Roman" w:hAnsi="Times New Roman" w:cs="Times New Roman"/>
          <w:sz w:val="24"/>
          <w:szCs w:val="24"/>
        </w:rPr>
        <w:t>d</w:t>
      </w:r>
      <w:r w:rsidR="00BE242E" w:rsidRPr="00BE242E">
        <w:rPr>
          <w:rFonts w:ascii="Times New Roman" w:hAnsi="Times New Roman" w:cs="Times New Roman"/>
          <w:sz w:val="24"/>
          <w:szCs w:val="24"/>
        </w:rPr>
        <w:t>el Archivo Nacional</w:t>
      </w:r>
      <w:r w:rsidR="0044347F">
        <w:rPr>
          <w:rFonts w:ascii="Times New Roman" w:hAnsi="Times New Roman" w:cs="Times New Roman"/>
          <w:sz w:val="24"/>
          <w:szCs w:val="24"/>
        </w:rPr>
        <w:t xml:space="preserve"> y la Licda. Lilliam Alvarado Ag</w:t>
      </w:r>
      <w:r w:rsidR="00294FBD">
        <w:rPr>
          <w:rFonts w:ascii="Times New Roman" w:hAnsi="Times New Roman" w:cs="Times New Roman"/>
          <w:sz w:val="24"/>
          <w:szCs w:val="24"/>
        </w:rPr>
        <w:t xml:space="preserve">üero Jefe </w:t>
      </w:r>
      <w:r w:rsidR="0044347F">
        <w:rPr>
          <w:rFonts w:ascii="Times New Roman" w:hAnsi="Times New Roman" w:cs="Times New Roman"/>
          <w:sz w:val="24"/>
          <w:szCs w:val="24"/>
        </w:rPr>
        <w:t>del Archivo Central</w:t>
      </w:r>
      <w:r w:rsidR="00BE242E" w:rsidRPr="00BE242E">
        <w:rPr>
          <w:rFonts w:ascii="Times New Roman" w:hAnsi="Times New Roman" w:cs="Times New Roman"/>
          <w:sz w:val="24"/>
          <w:szCs w:val="24"/>
        </w:rPr>
        <w:t>.</w:t>
      </w:r>
    </w:p>
    <w:p w:rsidR="008F1D12" w:rsidRDefault="00E72056" w:rsidP="008F1D12">
      <w:pPr>
        <w:jc w:val="both"/>
      </w:pPr>
      <w:r>
        <w:t xml:space="preserve">Es importante mencionar lo que indica la norma sobre las funciones del Archivo Central, como lo es la </w:t>
      </w:r>
      <w:r w:rsidR="008F1D12" w:rsidRPr="008F1D12">
        <w:t xml:space="preserve">Ley </w:t>
      </w:r>
      <w:r>
        <w:t>N° 7202:</w:t>
      </w:r>
    </w:p>
    <w:p w:rsidR="00E72056" w:rsidRDefault="00E72056" w:rsidP="008F1D12">
      <w:pPr>
        <w:jc w:val="both"/>
      </w:pPr>
    </w:p>
    <w:p w:rsidR="008F1D12" w:rsidRDefault="00E72056" w:rsidP="00E72056">
      <w:pPr>
        <w:ind w:left="567"/>
        <w:jc w:val="both"/>
        <w:rPr>
          <w:i/>
          <w:sz w:val="22"/>
          <w:szCs w:val="22"/>
        </w:rPr>
      </w:pPr>
      <w:r w:rsidRPr="00E72056">
        <w:rPr>
          <w:i/>
          <w:sz w:val="22"/>
          <w:szCs w:val="22"/>
        </w:rPr>
        <w:t xml:space="preserve">Artículo 42 </w:t>
      </w:r>
      <w:r w:rsidR="008F1D12" w:rsidRPr="00E72056">
        <w:rPr>
          <w:i/>
          <w:sz w:val="22"/>
          <w:szCs w:val="22"/>
        </w:rPr>
        <w:t>Los archivos centrales tendrán, entre otras, las siguientes funciones:</w:t>
      </w:r>
    </w:p>
    <w:p w:rsidR="00B511EF" w:rsidRPr="00E72056" w:rsidRDefault="00B511EF" w:rsidP="00E72056">
      <w:pPr>
        <w:ind w:left="567"/>
        <w:jc w:val="both"/>
        <w:rPr>
          <w:i/>
          <w:sz w:val="22"/>
          <w:szCs w:val="22"/>
        </w:rPr>
      </w:pPr>
    </w:p>
    <w:p w:rsidR="008F1D12" w:rsidRPr="00E72056" w:rsidRDefault="008F1D12" w:rsidP="00E72056">
      <w:pPr>
        <w:ind w:left="567"/>
        <w:jc w:val="both"/>
        <w:rPr>
          <w:i/>
          <w:sz w:val="22"/>
          <w:szCs w:val="22"/>
        </w:rPr>
      </w:pPr>
      <w:r w:rsidRPr="00E72056">
        <w:rPr>
          <w:i/>
          <w:sz w:val="22"/>
          <w:szCs w:val="22"/>
        </w:rPr>
        <w:lastRenderedPageBreak/>
        <w:t>a) Centralizar todo el acervo documental de las dependencias y oficinas de la institución, de acuerdo con los plazos de remisión de documentos</w:t>
      </w:r>
      <w:r w:rsidR="00E72056">
        <w:rPr>
          <w:i/>
          <w:sz w:val="22"/>
          <w:szCs w:val="22"/>
        </w:rPr>
        <w:t>…</w:t>
      </w:r>
    </w:p>
    <w:p w:rsidR="008F1D12" w:rsidRPr="00E72056" w:rsidRDefault="00E72056" w:rsidP="00E72056">
      <w:pPr>
        <w:ind w:left="567"/>
        <w:jc w:val="both"/>
        <w:rPr>
          <w:i/>
          <w:sz w:val="22"/>
          <w:szCs w:val="22"/>
        </w:rPr>
      </w:pPr>
      <w:r>
        <w:rPr>
          <w:i/>
          <w:sz w:val="22"/>
          <w:szCs w:val="22"/>
        </w:rPr>
        <w:t>…</w:t>
      </w:r>
      <w:r w:rsidR="008F1D12" w:rsidRPr="00E72056">
        <w:rPr>
          <w:i/>
          <w:sz w:val="22"/>
          <w:szCs w:val="22"/>
        </w:rPr>
        <w:t>c) Reunir, conservar, clasificar, ordenar, describir, seleccionar, administrar y facilitar el acervo documental de la institución</w:t>
      </w:r>
      <w:r w:rsidRPr="00E72056">
        <w:rPr>
          <w:i/>
          <w:sz w:val="22"/>
          <w:szCs w:val="22"/>
        </w:rPr>
        <w:t>…</w:t>
      </w:r>
      <w:r w:rsidR="008F1D12" w:rsidRPr="00E72056">
        <w:rPr>
          <w:i/>
          <w:sz w:val="22"/>
          <w:szCs w:val="22"/>
        </w:rPr>
        <w:t xml:space="preserve"> </w:t>
      </w:r>
    </w:p>
    <w:p w:rsidR="008F1D12" w:rsidRPr="00E72056" w:rsidRDefault="00E72056" w:rsidP="00E72056">
      <w:pPr>
        <w:ind w:left="567"/>
        <w:jc w:val="both"/>
        <w:rPr>
          <w:i/>
          <w:sz w:val="22"/>
          <w:szCs w:val="22"/>
        </w:rPr>
      </w:pPr>
      <w:r>
        <w:rPr>
          <w:i/>
          <w:sz w:val="22"/>
          <w:szCs w:val="22"/>
        </w:rPr>
        <w:t>…</w:t>
      </w:r>
      <w:r w:rsidR="008F1D12" w:rsidRPr="00E72056">
        <w:rPr>
          <w:i/>
          <w:sz w:val="22"/>
          <w:szCs w:val="22"/>
        </w:rPr>
        <w:t>e) Colaborar en la búsqueda de soluciones para el buen funcionamiento del archivo central y de los archivos de gestión de la entidad.</w:t>
      </w:r>
    </w:p>
    <w:p w:rsidR="00672404" w:rsidRDefault="00672404" w:rsidP="00DD5342">
      <w:pPr>
        <w:jc w:val="both"/>
      </w:pPr>
    </w:p>
    <w:p w:rsidR="00E72056" w:rsidRDefault="004266DE" w:rsidP="00DD5342">
      <w:pPr>
        <w:jc w:val="both"/>
      </w:pPr>
      <w:r>
        <w:t>Como complemento</w:t>
      </w:r>
      <w:r w:rsidR="00E72056">
        <w:t xml:space="preserve">, el Decreto Ejecutivo 38170 establece: </w:t>
      </w:r>
    </w:p>
    <w:p w:rsidR="00E72056" w:rsidRDefault="00E72056" w:rsidP="00DD5342">
      <w:pPr>
        <w:jc w:val="both"/>
      </w:pPr>
    </w:p>
    <w:p w:rsidR="008F1D12" w:rsidRPr="00E72056" w:rsidRDefault="00CA6832" w:rsidP="00E72056">
      <w:pPr>
        <w:ind w:left="567"/>
        <w:jc w:val="both"/>
        <w:rPr>
          <w:i/>
          <w:sz w:val="22"/>
          <w:szCs w:val="22"/>
        </w:rPr>
      </w:pPr>
      <w:r w:rsidRPr="00E72056">
        <w:rPr>
          <w:i/>
          <w:sz w:val="22"/>
          <w:szCs w:val="22"/>
        </w:rPr>
        <w:t>A</w:t>
      </w:r>
      <w:r w:rsidR="00E72056" w:rsidRPr="00E72056">
        <w:rPr>
          <w:i/>
          <w:sz w:val="22"/>
          <w:szCs w:val="22"/>
        </w:rPr>
        <w:t>rtículo 170.-El Archivo Central…</w:t>
      </w:r>
      <w:r w:rsidRPr="00E72056">
        <w:rPr>
          <w:i/>
          <w:sz w:val="22"/>
          <w:szCs w:val="22"/>
        </w:rPr>
        <w:t xml:space="preserve"> tendrá las siguientes funciones:</w:t>
      </w:r>
    </w:p>
    <w:p w:rsidR="00CA6832" w:rsidRPr="00E72056" w:rsidRDefault="00CA6832" w:rsidP="00E72056">
      <w:pPr>
        <w:ind w:left="567"/>
        <w:jc w:val="both"/>
        <w:rPr>
          <w:i/>
          <w:sz w:val="22"/>
          <w:szCs w:val="22"/>
        </w:rPr>
      </w:pPr>
      <w:r w:rsidRPr="00E72056">
        <w:rPr>
          <w:i/>
          <w:sz w:val="22"/>
          <w:szCs w:val="22"/>
        </w:rPr>
        <w:t>a) Coordinar con las diferentes instancias institucionales la organización y administración de los Archivos de Gestión que son la fuente primaria de información para alimentar el Archivo</w:t>
      </w:r>
      <w:r w:rsidR="00E72056">
        <w:rPr>
          <w:i/>
          <w:sz w:val="22"/>
          <w:szCs w:val="22"/>
        </w:rPr>
        <w:t>…</w:t>
      </w:r>
    </w:p>
    <w:p w:rsidR="00CA6832" w:rsidRPr="00E72056" w:rsidRDefault="00CA6832" w:rsidP="00E72056">
      <w:pPr>
        <w:ind w:left="567"/>
        <w:jc w:val="both"/>
        <w:rPr>
          <w:i/>
          <w:sz w:val="22"/>
          <w:szCs w:val="22"/>
        </w:rPr>
      </w:pPr>
      <w:r w:rsidRPr="00E72056">
        <w:rPr>
          <w:i/>
          <w:sz w:val="22"/>
          <w:szCs w:val="22"/>
        </w:rPr>
        <w:t>c) Mantener técnicamente organizados y conservar todos los documentos institucionales</w:t>
      </w:r>
      <w:r w:rsidR="00E72056">
        <w:rPr>
          <w:i/>
          <w:sz w:val="22"/>
          <w:szCs w:val="22"/>
        </w:rPr>
        <w:t>….</w:t>
      </w:r>
    </w:p>
    <w:p w:rsidR="00CA6832" w:rsidRPr="00E72056" w:rsidRDefault="00E72056" w:rsidP="00E72056">
      <w:pPr>
        <w:ind w:left="567"/>
        <w:jc w:val="both"/>
        <w:rPr>
          <w:i/>
          <w:sz w:val="22"/>
          <w:szCs w:val="22"/>
        </w:rPr>
      </w:pPr>
      <w:r>
        <w:rPr>
          <w:i/>
          <w:sz w:val="22"/>
          <w:szCs w:val="22"/>
        </w:rPr>
        <w:t>…</w:t>
      </w:r>
      <w:r w:rsidR="00CA6832" w:rsidRPr="00E72056">
        <w:rPr>
          <w:i/>
          <w:sz w:val="22"/>
          <w:szCs w:val="22"/>
        </w:rPr>
        <w:t>e) Ejercer los controles necesarios para el adecuado manejo, seguridad y conservación de la documentación custodiada</w:t>
      </w:r>
      <w:r>
        <w:rPr>
          <w:i/>
          <w:sz w:val="22"/>
          <w:szCs w:val="22"/>
        </w:rPr>
        <w:t>…</w:t>
      </w:r>
    </w:p>
    <w:p w:rsidR="00CA6832" w:rsidRDefault="00CA6832" w:rsidP="00DD5342">
      <w:pPr>
        <w:jc w:val="both"/>
      </w:pPr>
    </w:p>
    <w:p w:rsidR="004266DE" w:rsidRDefault="004266DE" w:rsidP="00126006">
      <w:pPr>
        <w:jc w:val="both"/>
      </w:pPr>
      <w:r>
        <w:t xml:space="preserve">Por su parte, la </w:t>
      </w:r>
      <w:r w:rsidR="00D65BD4">
        <w:t>Norma técnica para la gestión de documentos electrónicos en el Sistema Nacional de Archivos establece</w:t>
      </w:r>
      <w:r>
        <w:t xml:space="preserve"> que l</w:t>
      </w:r>
      <w:r w:rsidR="00D65BD4" w:rsidRPr="004266DE">
        <w:t>os encargados de los archivos centrales deben participar activa y eficientemente en la consecución de sistemas de información que permitan a la administración activa tener una gestión de documentos institucional.</w:t>
      </w:r>
      <w:r>
        <w:t xml:space="preserve"> </w:t>
      </w:r>
    </w:p>
    <w:p w:rsidR="004266DE" w:rsidRDefault="004266DE" w:rsidP="00126006">
      <w:pPr>
        <w:jc w:val="both"/>
      </w:pPr>
    </w:p>
    <w:p w:rsidR="004A212E" w:rsidRDefault="004266DE" w:rsidP="00B54436">
      <w:pPr>
        <w:jc w:val="both"/>
      </w:pPr>
      <w:r>
        <w:t>En este mismo contexto, es importante mencionar que estas situaciones se presentan a causa de los cambios que han sufrido los sistemas de archivos institucionales y la forma en que estos operan, por el</w:t>
      </w:r>
      <w:r w:rsidR="007662C0">
        <w:t xml:space="preserve"> desarrollo de las Tecnologías de Información y la Comunicación (TIC). </w:t>
      </w:r>
      <w:r>
        <w:t xml:space="preserve">A pesar de que el Archivo Central ha venido efectuado ciertas modificaciones en procedimientos y capacitación; las gestiones para mantener un repositorio centralizado para toda la información digital del MEP, no han llevado a una solución viable a </w:t>
      </w:r>
      <w:r w:rsidR="00B54436">
        <w:t>dicha</w:t>
      </w:r>
      <w:r>
        <w:t xml:space="preserve"> necesidad</w:t>
      </w:r>
      <w:r w:rsidR="00B54436">
        <w:t xml:space="preserve">. </w:t>
      </w:r>
    </w:p>
    <w:p w:rsidR="004A212E" w:rsidRDefault="004A212E" w:rsidP="00B54436">
      <w:pPr>
        <w:jc w:val="both"/>
      </w:pPr>
    </w:p>
    <w:p w:rsidR="004266DE" w:rsidRDefault="00B54436" w:rsidP="00B54436">
      <w:pPr>
        <w:jc w:val="both"/>
      </w:pPr>
      <w:r>
        <w:t>Esto podría ocasionar riesgos considerables para todas las instancias que actualmente producen información digital, ya que no se cumple con la normativa existente para la producción, almacenamiento, conservación y acceso a la información.</w:t>
      </w:r>
    </w:p>
    <w:p w:rsidR="00B54436" w:rsidRDefault="00B54436" w:rsidP="00B54436">
      <w:pPr>
        <w:jc w:val="both"/>
      </w:pPr>
    </w:p>
    <w:p w:rsidR="008F1D12" w:rsidRPr="00445511" w:rsidRDefault="008F1D12" w:rsidP="00DD5342">
      <w:pPr>
        <w:jc w:val="both"/>
      </w:pPr>
    </w:p>
    <w:p w:rsidR="00453D12" w:rsidRPr="00445511" w:rsidRDefault="00453D12" w:rsidP="00DD5342">
      <w:pPr>
        <w:pStyle w:val="Ttulo2"/>
        <w:spacing w:before="0" w:beforeAutospacing="0" w:after="0" w:afterAutospacing="0"/>
        <w:rPr>
          <w:szCs w:val="24"/>
        </w:rPr>
      </w:pPr>
      <w:bookmarkStart w:id="11" w:name="_Toc14267895"/>
      <w:r w:rsidRPr="00445511">
        <w:rPr>
          <w:szCs w:val="24"/>
        </w:rPr>
        <w:t>3. CONCLUSIONES</w:t>
      </w:r>
      <w:bookmarkEnd w:id="11"/>
    </w:p>
    <w:p w:rsidR="00AE7707" w:rsidRPr="00445511" w:rsidRDefault="00AE7707" w:rsidP="00DD5342">
      <w:pPr>
        <w:jc w:val="both"/>
        <w:rPr>
          <w:b/>
        </w:rPr>
      </w:pPr>
    </w:p>
    <w:p w:rsidR="00C623A9" w:rsidRDefault="006E028B" w:rsidP="00C5526C">
      <w:pPr>
        <w:suppressAutoHyphens w:val="0"/>
        <w:spacing w:after="200" w:line="276" w:lineRule="auto"/>
        <w:jc w:val="both"/>
      </w:pPr>
      <w:r w:rsidRPr="00C623A9">
        <w:t xml:space="preserve">El Departamento de Control y Evaluación Presupuestaria, </w:t>
      </w:r>
      <w:r w:rsidR="00C5526C" w:rsidRPr="00C623A9">
        <w:t>como</w:t>
      </w:r>
      <w:r w:rsidRPr="00C623A9">
        <w:t xml:space="preserve"> encargado de controlar la ejecución del gasto del MEP y velar </w:t>
      </w:r>
      <w:r w:rsidR="00C5526C" w:rsidRPr="00C623A9">
        <w:t>por el cumplimiento de</w:t>
      </w:r>
      <w:r w:rsidRPr="00C623A9">
        <w:t xml:space="preserve"> lo establecido en la programación financiera</w:t>
      </w:r>
      <w:r w:rsidR="00C623A9">
        <w:t>,</w:t>
      </w:r>
      <w:r w:rsidR="00C5526C" w:rsidRPr="00C623A9">
        <w:t xml:space="preserve"> </w:t>
      </w:r>
      <w:r w:rsidR="00D0124C">
        <w:t>ejecuta sus</w:t>
      </w:r>
      <w:r w:rsidR="00C5526C" w:rsidRPr="00C623A9">
        <w:t xml:space="preserve"> transacciones con un nivel de riesgo elevado. </w:t>
      </w:r>
    </w:p>
    <w:p w:rsidR="00C5526C" w:rsidRPr="00C623A9" w:rsidRDefault="00C623A9" w:rsidP="00C5526C">
      <w:pPr>
        <w:suppressAutoHyphens w:val="0"/>
        <w:spacing w:after="200" w:line="276" w:lineRule="auto"/>
        <w:jc w:val="both"/>
      </w:pPr>
      <w:r w:rsidRPr="00C623A9">
        <w:t xml:space="preserve">En este estudio, se verificó la mayoría de los procesos </w:t>
      </w:r>
      <w:r w:rsidR="00D0124C">
        <w:t>de</w:t>
      </w:r>
      <w:r w:rsidRPr="00C623A9">
        <w:t xml:space="preserve"> dicha instancia, tales como la programación financiera, solicitudes de pedido, modificaciones presupuestarias</w:t>
      </w:r>
      <w:r>
        <w:t>, entre otros;</w:t>
      </w:r>
      <w:r w:rsidRPr="00C623A9">
        <w:t xml:space="preserve"> </w:t>
      </w:r>
      <w:r>
        <w:t xml:space="preserve">encontrándose </w:t>
      </w:r>
      <w:r w:rsidR="00D0124C" w:rsidRPr="00C623A9">
        <w:t>que existe</w:t>
      </w:r>
      <w:r w:rsidRPr="00C623A9">
        <w:t xml:space="preserve"> un cuidado y orden de las transacciones diarias</w:t>
      </w:r>
      <w:r>
        <w:t xml:space="preserve"> mediante documentación digital</w:t>
      </w:r>
      <w:r w:rsidRPr="00C623A9">
        <w:t>.</w:t>
      </w:r>
    </w:p>
    <w:p w:rsidR="00C5526C" w:rsidRPr="00C623A9" w:rsidRDefault="00C623A9" w:rsidP="00C5526C">
      <w:pPr>
        <w:suppressAutoHyphens w:val="0"/>
        <w:spacing w:after="200" w:line="276" w:lineRule="auto"/>
        <w:jc w:val="both"/>
      </w:pPr>
      <w:r>
        <w:t xml:space="preserve">Asimismo, se verificó el </w:t>
      </w:r>
      <w:r w:rsidR="00C5526C" w:rsidRPr="00C623A9">
        <w:t xml:space="preserve">soporte que brinda a los Programas Presupuestarios, </w:t>
      </w:r>
      <w:r>
        <w:t xml:space="preserve">mediante </w:t>
      </w:r>
      <w:r w:rsidRPr="00C623A9">
        <w:t>la encuesta aplicada a cada uno de los Jefes de Programa y/o coordinadores</w:t>
      </w:r>
      <w:r>
        <w:t xml:space="preserve">, la cual arrojó resultados positivos, en cuanto al servicio y la labor de </w:t>
      </w:r>
      <w:r w:rsidR="00C5526C" w:rsidRPr="00C623A9">
        <w:t xml:space="preserve">acompañamiento. </w:t>
      </w:r>
    </w:p>
    <w:p w:rsidR="00303EC8" w:rsidRDefault="00C623A9" w:rsidP="006E028B">
      <w:pPr>
        <w:suppressAutoHyphens w:val="0"/>
        <w:spacing w:after="200" w:line="276" w:lineRule="auto"/>
        <w:jc w:val="both"/>
        <w:rPr>
          <w:b/>
        </w:rPr>
      </w:pPr>
      <w:r w:rsidRPr="00C623A9">
        <w:lastRenderedPageBreak/>
        <w:t xml:space="preserve">A </w:t>
      </w:r>
      <w:r w:rsidR="006E028B" w:rsidRPr="00C623A9">
        <w:t>pesar de que se determinó que no se contaba con manuales de procedimientos</w:t>
      </w:r>
      <w:r w:rsidR="00C5526C" w:rsidRPr="00C623A9">
        <w:t xml:space="preserve"> y evaluaciones de riesgos</w:t>
      </w:r>
      <w:r w:rsidR="006E028B" w:rsidRPr="00C623A9">
        <w:t xml:space="preserve"> actualizados</w:t>
      </w:r>
      <w:r w:rsidR="00C5526C" w:rsidRPr="00C623A9">
        <w:t xml:space="preserve">, </w:t>
      </w:r>
      <w:r>
        <w:t xml:space="preserve">los </w:t>
      </w:r>
      <w:r w:rsidR="00C5526C" w:rsidRPr="00C623A9">
        <w:t xml:space="preserve">controles </w:t>
      </w:r>
      <w:r>
        <w:t>se realizan apegados a lo que estipula la Ley 8131 y el Decreto Ejecutivo 38170</w:t>
      </w:r>
      <w:r w:rsidR="00C5526C" w:rsidRPr="00C623A9">
        <w:t>.</w:t>
      </w:r>
      <w:r w:rsidR="009118F6">
        <w:rPr>
          <w:b/>
        </w:rPr>
        <w:t xml:space="preserve"> </w:t>
      </w:r>
    </w:p>
    <w:p w:rsidR="004A212E" w:rsidRDefault="004A212E" w:rsidP="00DD5342">
      <w:pPr>
        <w:pStyle w:val="Ttulo2"/>
        <w:spacing w:before="0" w:beforeAutospacing="0" w:after="0" w:afterAutospacing="0"/>
        <w:rPr>
          <w:szCs w:val="24"/>
        </w:rPr>
      </w:pPr>
      <w:bookmarkStart w:id="12" w:name="_Toc14267896"/>
    </w:p>
    <w:p w:rsidR="00AE7707" w:rsidRPr="00445511" w:rsidRDefault="00AE7707" w:rsidP="00DD5342">
      <w:pPr>
        <w:pStyle w:val="Ttulo2"/>
        <w:spacing w:before="0" w:beforeAutospacing="0" w:after="0" w:afterAutospacing="0"/>
        <w:rPr>
          <w:szCs w:val="24"/>
        </w:rPr>
      </w:pPr>
      <w:r w:rsidRPr="00445511">
        <w:rPr>
          <w:szCs w:val="24"/>
        </w:rPr>
        <w:t>4. RECOMENDACIONES</w:t>
      </w:r>
      <w:bookmarkEnd w:id="12"/>
    </w:p>
    <w:p w:rsidR="00D37290" w:rsidRDefault="00D37290" w:rsidP="00DD5342">
      <w:pPr>
        <w:jc w:val="both"/>
        <w:rPr>
          <w:b/>
        </w:rPr>
      </w:pPr>
    </w:p>
    <w:p w:rsidR="00B54436" w:rsidRDefault="00B54436" w:rsidP="00DD5342">
      <w:pPr>
        <w:jc w:val="both"/>
        <w:rPr>
          <w:b/>
        </w:rPr>
      </w:pPr>
      <w:r>
        <w:rPr>
          <w:b/>
        </w:rPr>
        <w:t xml:space="preserve">Al Señor Viceministro </w:t>
      </w:r>
      <w:r w:rsidR="00DE30B6">
        <w:rPr>
          <w:b/>
        </w:rPr>
        <w:t>Administrativo</w:t>
      </w:r>
    </w:p>
    <w:p w:rsidR="00B54436" w:rsidRDefault="00B54436" w:rsidP="00DD5342">
      <w:pPr>
        <w:jc w:val="both"/>
        <w:rPr>
          <w:b/>
        </w:rPr>
      </w:pPr>
    </w:p>
    <w:p w:rsidR="00B54436" w:rsidRDefault="00B54436" w:rsidP="00B54436">
      <w:pPr>
        <w:jc w:val="both"/>
      </w:pPr>
      <w:r>
        <w:rPr>
          <w:b/>
        </w:rPr>
        <w:t xml:space="preserve">4.1 </w:t>
      </w:r>
      <w:r w:rsidRPr="00B54436">
        <w:t xml:space="preserve">Establecer una estrategia </w:t>
      </w:r>
      <w:r w:rsidR="008C625F">
        <w:t xml:space="preserve">en conjunto con el </w:t>
      </w:r>
      <w:r w:rsidRPr="00B54436">
        <w:t>Archivo Central, la Dirección de Informática de Gestión y demás instancias que se requieran</w:t>
      </w:r>
      <w:r w:rsidR="008C625F">
        <w:t>;</w:t>
      </w:r>
      <w:r w:rsidRPr="00B54436">
        <w:t xml:space="preserve"> en la cual se establezca</w:t>
      </w:r>
      <w:r w:rsidR="00DE30B6">
        <w:t xml:space="preserve"> lo</w:t>
      </w:r>
      <w:r w:rsidRPr="00B54436">
        <w:t>s requerimientos de un sistemas informático o repositorio digital, ya sea para desarrollo o compra del mismo, según las necesidades</w:t>
      </w:r>
      <w:r w:rsidR="008C625F">
        <w:t xml:space="preserve"> reales</w:t>
      </w:r>
      <w:r w:rsidRPr="00B54436">
        <w:t xml:space="preserve"> del MEP</w:t>
      </w:r>
      <w:r w:rsidR="00DE30B6">
        <w:t xml:space="preserve">. Este debe cumplir </w:t>
      </w:r>
      <w:r w:rsidRPr="00B54436">
        <w:t xml:space="preserve">con las características </w:t>
      </w:r>
      <w:r w:rsidR="008C625F">
        <w:t>de</w:t>
      </w:r>
      <w:r w:rsidRPr="00B54436">
        <w:t xml:space="preserve"> almacenamiento, conservación y acceso a la información</w:t>
      </w:r>
      <w:r w:rsidR="008C625F">
        <w:t xml:space="preserve"> digital producida por las diferentes instancias</w:t>
      </w:r>
      <w:r w:rsidR="00DE30B6">
        <w:t xml:space="preserve"> del MEP</w:t>
      </w:r>
      <w:r w:rsidRPr="00B54436">
        <w:t>. Lo anterior</w:t>
      </w:r>
      <w:r w:rsidR="008C625F">
        <w:t>,</w:t>
      </w:r>
      <w:r w:rsidRPr="00B54436">
        <w:t xml:space="preserve"> apegado a lo que señala la Ley 7202, la Norma técnica para la gestión de documentos electrónicos en el Sistema Nacional de Archivos, y demás normativa atinente.</w:t>
      </w:r>
      <w:r w:rsidR="00BB11BD" w:rsidRPr="00BB11BD">
        <w:t xml:space="preserve"> </w:t>
      </w:r>
      <w:r w:rsidR="00BB11BD" w:rsidRPr="002F5340">
        <w:t>(Ver comentario 2.</w:t>
      </w:r>
      <w:r w:rsidR="006944A2">
        <w:t>3</w:t>
      </w:r>
      <w:r w:rsidR="00BB11BD" w:rsidRPr="002F5340">
        <w:t xml:space="preserve">) (Plazo máximo: </w:t>
      </w:r>
      <w:r w:rsidR="00BB11BD">
        <w:t>1 año</w:t>
      </w:r>
      <w:r w:rsidR="00BB11BD" w:rsidRPr="002F5340">
        <w:t>).</w:t>
      </w:r>
    </w:p>
    <w:p w:rsidR="00B54436" w:rsidRPr="00445511" w:rsidRDefault="00B54436" w:rsidP="00DD5342">
      <w:pPr>
        <w:jc w:val="both"/>
        <w:rPr>
          <w:b/>
        </w:rPr>
      </w:pPr>
    </w:p>
    <w:p w:rsidR="00DB65D7" w:rsidRDefault="00DB65D7" w:rsidP="00DD5342">
      <w:pPr>
        <w:jc w:val="both"/>
        <w:rPr>
          <w:b/>
        </w:rPr>
      </w:pPr>
      <w:r w:rsidRPr="00445511">
        <w:rPr>
          <w:b/>
        </w:rPr>
        <w:t>A</w:t>
      </w:r>
      <w:r w:rsidR="002F5340">
        <w:rPr>
          <w:b/>
        </w:rPr>
        <w:t xml:space="preserve"> </w:t>
      </w:r>
      <w:r w:rsidRPr="00445511">
        <w:rPr>
          <w:b/>
        </w:rPr>
        <w:t>l</w:t>
      </w:r>
      <w:r w:rsidR="002F5340">
        <w:rPr>
          <w:b/>
        </w:rPr>
        <w:t>a</w:t>
      </w:r>
      <w:r w:rsidR="009118F6">
        <w:rPr>
          <w:b/>
        </w:rPr>
        <w:t xml:space="preserve"> </w:t>
      </w:r>
      <w:r w:rsidR="002F5340">
        <w:rPr>
          <w:b/>
        </w:rPr>
        <w:t>Jefe del Departamento de Control y Evaluación Presupuestaria</w:t>
      </w:r>
    </w:p>
    <w:p w:rsidR="002F5340" w:rsidRPr="00445511" w:rsidRDefault="002F5340" w:rsidP="00DD5342">
      <w:pPr>
        <w:jc w:val="both"/>
        <w:rPr>
          <w:b/>
        </w:rPr>
      </w:pPr>
    </w:p>
    <w:p w:rsidR="00DB65D7" w:rsidRPr="002F5340" w:rsidRDefault="00B54436" w:rsidP="00DD5342">
      <w:pPr>
        <w:jc w:val="both"/>
      </w:pPr>
      <w:r>
        <w:rPr>
          <w:b/>
        </w:rPr>
        <w:t>4.2</w:t>
      </w:r>
      <w:r w:rsidR="00DB65D7" w:rsidRPr="00445511">
        <w:rPr>
          <w:b/>
        </w:rPr>
        <w:t xml:space="preserve"> </w:t>
      </w:r>
      <w:r w:rsidR="002F5340" w:rsidRPr="002F5340">
        <w:t>Actualizar y divulgar los Manuales de Procedimientos de todas las labores que se realizan en el Departamento de Control y Evaluación Presupuestaria, con el objetivo de garantizar el cumplimiento del sistema de control interno institucional y prevenir desviaciones en los objetivos y metas trazados para</w:t>
      </w:r>
      <w:r w:rsidR="00BB11BD">
        <w:t xml:space="preserve"> el desempeño de sus funciones.</w:t>
      </w:r>
      <w:r w:rsidR="000F15EC" w:rsidRPr="002F5340">
        <w:t xml:space="preserve"> </w:t>
      </w:r>
      <w:r w:rsidR="00DB65D7" w:rsidRPr="002F5340">
        <w:t>(Ver comentario 2.1) (Plazo máximo</w:t>
      </w:r>
      <w:r w:rsidR="002F5340" w:rsidRPr="002F5340">
        <w:t>:</w:t>
      </w:r>
      <w:r w:rsidR="00DB65D7" w:rsidRPr="002F5340">
        <w:t xml:space="preserve"> </w:t>
      </w:r>
      <w:r w:rsidR="002F5340" w:rsidRPr="002F5340">
        <w:t>1 año, con cronograma y presentación trimestral de avances a partir de la emisión del informe definitivo</w:t>
      </w:r>
      <w:r w:rsidR="00DB65D7" w:rsidRPr="002F5340">
        <w:t>).</w:t>
      </w:r>
    </w:p>
    <w:p w:rsidR="002F5340" w:rsidRDefault="002F5340" w:rsidP="00DD5342">
      <w:pPr>
        <w:jc w:val="both"/>
        <w:rPr>
          <w:b/>
        </w:rPr>
      </w:pPr>
    </w:p>
    <w:p w:rsidR="00DB65D7" w:rsidRPr="00413984" w:rsidRDefault="00B54436" w:rsidP="009D3AD4">
      <w:pPr>
        <w:autoSpaceDE w:val="0"/>
        <w:autoSpaceDN w:val="0"/>
        <w:adjustRightInd w:val="0"/>
        <w:jc w:val="both"/>
        <w:rPr>
          <w:b/>
        </w:rPr>
      </w:pPr>
      <w:r>
        <w:rPr>
          <w:b/>
        </w:rPr>
        <w:t>4.3</w:t>
      </w:r>
      <w:r w:rsidR="005B2D7D" w:rsidRPr="00445511">
        <w:rPr>
          <w:b/>
        </w:rPr>
        <w:t xml:space="preserve"> </w:t>
      </w:r>
      <w:r w:rsidR="009D3AD4" w:rsidRPr="00413984">
        <w:t xml:space="preserve">Actualizar y divulgar entre los funcionarios del DECEP, la Evaluación de Riesgos, </w:t>
      </w:r>
      <w:r w:rsidR="004A212E">
        <w:t>con el objetivo de identificar,</w:t>
      </w:r>
      <w:r w:rsidR="009D3AD4" w:rsidRPr="00413984">
        <w:t xml:space="preserve"> analizar y administrar los riesgos asociados al logro de los objetivos y las metas institucionales, definidos tanto en los planes anuales operativos como en los planes de mediano y de largo. (Ver comentario 2.2)</w:t>
      </w:r>
      <w:r w:rsidR="005B2D7D" w:rsidRPr="00413984">
        <w:t xml:space="preserve"> (Plazo máximo</w:t>
      </w:r>
      <w:r w:rsidR="009D3AD4" w:rsidRPr="00413984">
        <w:t>:</w:t>
      </w:r>
      <w:r w:rsidR="005B2D7D" w:rsidRPr="00413984">
        <w:t xml:space="preserve"> </w:t>
      </w:r>
      <w:r w:rsidR="009D3AD4" w:rsidRPr="00413984">
        <w:t>6 meses a partir de la emisión del informe definitivo</w:t>
      </w:r>
      <w:r w:rsidR="005B2D7D" w:rsidRPr="00413984">
        <w:t>).</w:t>
      </w:r>
    </w:p>
    <w:p w:rsidR="00DB65D7" w:rsidRDefault="00DB65D7" w:rsidP="00DD5342">
      <w:pPr>
        <w:jc w:val="both"/>
        <w:rPr>
          <w:b/>
        </w:rPr>
      </w:pPr>
    </w:p>
    <w:p w:rsidR="00DA4BC4" w:rsidRPr="00445511" w:rsidRDefault="00DA4BC4" w:rsidP="00DD5342">
      <w:pPr>
        <w:jc w:val="both"/>
        <w:rPr>
          <w:b/>
        </w:rPr>
      </w:pPr>
    </w:p>
    <w:p w:rsidR="00453D12" w:rsidRPr="00445511" w:rsidRDefault="00AE7707" w:rsidP="00DD5342">
      <w:pPr>
        <w:pStyle w:val="Ttulo2"/>
        <w:spacing w:before="0" w:beforeAutospacing="0" w:after="0" w:afterAutospacing="0"/>
        <w:rPr>
          <w:szCs w:val="24"/>
        </w:rPr>
      </w:pPr>
      <w:bookmarkStart w:id="13" w:name="_Toc14267897"/>
      <w:r w:rsidRPr="00445511">
        <w:rPr>
          <w:szCs w:val="24"/>
        </w:rPr>
        <w:t>5</w:t>
      </w:r>
      <w:r w:rsidR="00453D12" w:rsidRPr="00445511">
        <w:rPr>
          <w:szCs w:val="24"/>
        </w:rPr>
        <w:t>. PUNTOS ESPECÍFICOS</w:t>
      </w:r>
      <w:bookmarkEnd w:id="13"/>
    </w:p>
    <w:p w:rsidR="00453D12" w:rsidRPr="00445511" w:rsidRDefault="00453D12" w:rsidP="00DD5342">
      <w:pPr>
        <w:jc w:val="both"/>
      </w:pPr>
    </w:p>
    <w:p w:rsidR="00453D12" w:rsidRPr="00445511" w:rsidRDefault="00AE7707" w:rsidP="00DD5342">
      <w:pPr>
        <w:pStyle w:val="Ttulo3"/>
        <w:spacing w:before="0"/>
        <w:rPr>
          <w:rFonts w:cs="Times New Roman"/>
        </w:rPr>
      </w:pPr>
      <w:bookmarkStart w:id="14" w:name="_Toc14267898"/>
      <w:r w:rsidRPr="00445511">
        <w:rPr>
          <w:rFonts w:cs="Times New Roman"/>
        </w:rPr>
        <w:t>5</w:t>
      </w:r>
      <w:r w:rsidR="00212C16" w:rsidRPr="00445511">
        <w:rPr>
          <w:rFonts w:cs="Times New Roman"/>
        </w:rPr>
        <w:t>.1</w:t>
      </w:r>
      <w:r w:rsidR="00453D12" w:rsidRPr="00445511">
        <w:rPr>
          <w:rFonts w:cs="Times New Roman"/>
        </w:rPr>
        <w:t xml:space="preserve"> Discusión de resultados</w:t>
      </w:r>
      <w:bookmarkEnd w:id="14"/>
      <w:r w:rsidR="00453D12" w:rsidRPr="00445511">
        <w:rPr>
          <w:rFonts w:cs="Times New Roman"/>
        </w:rPr>
        <w:t xml:space="preserve"> </w:t>
      </w:r>
    </w:p>
    <w:p w:rsidR="0094682B" w:rsidRPr="00445511" w:rsidRDefault="0094682B" w:rsidP="00DD5342">
      <w:pPr>
        <w:jc w:val="both"/>
      </w:pPr>
      <w:r w:rsidRPr="00445511">
        <w:t xml:space="preserve">La comunicación de los resultados se realizó el </w:t>
      </w:r>
      <w:r w:rsidR="0066038F">
        <w:t>25 de febrero de 2020</w:t>
      </w:r>
      <w:r w:rsidRPr="00445511">
        <w:t xml:space="preserve">, a las </w:t>
      </w:r>
      <w:r w:rsidR="0066038F">
        <w:t>9:00</w:t>
      </w:r>
      <w:r w:rsidR="000D7AC2" w:rsidRPr="000D7AC2">
        <w:t xml:space="preserve"> </w:t>
      </w:r>
      <w:r w:rsidRPr="000D7AC2">
        <w:t>horas</w:t>
      </w:r>
      <w:r w:rsidR="0066038F">
        <w:t>,</w:t>
      </w:r>
      <w:r w:rsidRPr="00445511">
        <w:t xml:space="preserve"> en </w:t>
      </w:r>
      <w:r w:rsidR="0066038F">
        <w:t>la Dirección Financiera</w:t>
      </w:r>
      <w:r w:rsidRPr="00445511">
        <w:t xml:space="preserve">, con la presencia de las siguientes personas: </w:t>
      </w:r>
      <w:r w:rsidR="0066038F">
        <w:t>Licda. Anabelle Vargas Monge Directora Financiera, Lic. Johan Quesada Espinoza Subdirector Financiero y la Licda. Florencia Rodríguez Martín Jefe del Departamento de Control y Evaluación Presupuestaria</w:t>
      </w:r>
      <w:r w:rsidRPr="00445511">
        <w:t>.</w:t>
      </w:r>
      <w:r w:rsidR="0066038F">
        <w:t xml:space="preserve"> Adicional, esta misma fecha se envió vía correo electrónico, el borrador del informe al señor Steven González Cortés Viceministro Administrativo y a la Licda. Enid Castro Monge, Jefe de este mismo Despacho</w:t>
      </w:r>
      <w:r w:rsidR="005E32AE">
        <w:t>, de los cuales no se recibieron observaciones</w:t>
      </w:r>
      <w:r w:rsidR="0066038F">
        <w:t>.</w:t>
      </w:r>
    </w:p>
    <w:p w:rsidR="00CD444B" w:rsidRPr="00445511" w:rsidRDefault="00CD444B" w:rsidP="00DD5342">
      <w:pPr>
        <w:jc w:val="both"/>
        <w:rPr>
          <w:b/>
        </w:rPr>
      </w:pPr>
    </w:p>
    <w:p w:rsidR="00453D12" w:rsidRPr="00445511" w:rsidRDefault="00AE7707" w:rsidP="00DD5342">
      <w:pPr>
        <w:pStyle w:val="Ttulo3"/>
        <w:spacing w:before="0"/>
        <w:rPr>
          <w:rFonts w:cs="Times New Roman"/>
        </w:rPr>
      </w:pPr>
      <w:bookmarkStart w:id="15" w:name="_Toc14267899"/>
      <w:r w:rsidRPr="00445511">
        <w:rPr>
          <w:rFonts w:cs="Times New Roman"/>
        </w:rPr>
        <w:lastRenderedPageBreak/>
        <w:t>5</w:t>
      </w:r>
      <w:r w:rsidR="00212C16" w:rsidRPr="00445511">
        <w:rPr>
          <w:rFonts w:cs="Times New Roman"/>
        </w:rPr>
        <w:t>.2</w:t>
      </w:r>
      <w:r w:rsidR="00453D12" w:rsidRPr="00445511">
        <w:rPr>
          <w:rFonts w:cs="Times New Roman"/>
        </w:rPr>
        <w:t xml:space="preserve"> Trámite del informe</w:t>
      </w:r>
      <w:bookmarkEnd w:id="15"/>
      <w:r w:rsidR="00453D12" w:rsidRPr="00445511">
        <w:rPr>
          <w:rFonts w:cs="Times New Roman"/>
        </w:rPr>
        <w:t xml:space="preserve"> </w:t>
      </w:r>
    </w:p>
    <w:p w:rsidR="00453D12" w:rsidRPr="00445511" w:rsidRDefault="00453D12" w:rsidP="00DD5342">
      <w:pPr>
        <w:autoSpaceDE w:val="0"/>
        <w:autoSpaceDN w:val="0"/>
        <w:adjustRightInd w:val="0"/>
        <w:jc w:val="both"/>
      </w:pPr>
      <w:r w:rsidRPr="00445511">
        <w:t xml:space="preserve">Este informe debe seguir el trámite dispuesto en el artículo </w:t>
      </w:r>
      <w:r w:rsidR="00AA2227">
        <w:t>36</w:t>
      </w:r>
      <w:r w:rsidRPr="00445511">
        <w:t xml:space="preserve"> de la Ley General de Control Interno. </w:t>
      </w:r>
      <w:r w:rsidRPr="00445511">
        <w:rPr>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445511">
        <w:t xml:space="preserve">. </w:t>
      </w:r>
    </w:p>
    <w:p w:rsidR="00453D12" w:rsidRPr="00445511" w:rsidRDefault="00453D12" w:rsidP="00DD5342">
      <w:pPr>
        <w:suppressAutoHyphens w:val="0"/>
      </w:pPr>
    </w:p>
    <w:p w:rsidR="00C618A6" w:rsidRDefault="00C618A6" w:rsidP="00DD5342">
      <w:pPr>
        <w:suppressAutoHyphens w:val="0"/>
      </w:pPr>
    </w:p>
    <w:p w:rsidR="00453D12" w:rsidRPr="00445511" w:rsidRDefault="00AE7707" w:rsidP="00DD5342">
      <w:pPr>
        <w:pStyle w:val="Ttulo2"/>
        <w:spacing w:before="0" w:beforeAutospacing="0" w:after="0" w:afterAutospacing="0"/>
        <w:rPr>
          <w:szCs w:val="24"/>
          <w:lang w:val="es-CR"/>
        </w:rPr>
      </w:pPr>
      <w:bookmarkStart w:id="16" w:name="_Toc14267900"/>
      <w:r w:rsidRPr="00445511">
        <w:rPr>
          <w:szCs w:val="24"/>
          <w:lang w:val="es-CR"/>
        </w:rPr>
        <w:t>6</w:t>
      </w:r>
      <w:r w:rsidR="00453D12" w:rsidRPr="00445511">
        <w:rPr>
          <w:szCs w:val="24"/>
          <w:lang w:val="es-CR"/>
        </w:rPr>
        <w:t>. NOMBRES Y FIRMAS</w:t>
      </w:r>
      <w:bookmarkEnd w:id="16"/>
      <w:r w:rsidR="00453D12" w:rsidRPr="00445511">
        <w:rPr>
          <w:szCs w:val="24"/>
          <w:lang w:val="es-CR"/>
        </w:rPr>
        <w:t xml:space="preserve"> </w:t>
      </w:r>
    </w:p>
    <w:tbl>
      <w:tblPr>
        <w:tblW w:w="0" w:type="auto"/>
        <w:tblLook w:val="04A0" w:firstRow="1" w:lastRow="0" w:firstColumn="1" w:lastColumn="0" w:noHBand="0" w:noVBand="1"/>
      </w:tblPr>
      <w:tblGrid>
        <w:gridCol w:w="4248"/>
        <w:gridCol w:w="4580"/>
      </w:tblGrid>
      <w:tr w:rsidR="001707C9" w:rsidRPr="00445511" w:rsidTr="001C2F38">
        <w:tc>
          <w:tcPr>
            <w:tcW w:w="4248" w:type="dxa"/>
          </w:tcPr>
          <w:p w:rsidR="00C618A6" w:rsidRDefault="00C618A6" w:rsidP="00C618A6">
            <w:pPr>
              <w:jc w:val="center"/>
              <w:rPr>
                <w:lang w:eastAsia="es-ES"/>
              </w:rPr>
            </w:pPr>
          </w:p>
          <w:p w:rsidR="00C618A6" w:rsidRDefault="00C618A6" w:rsidP="00C618A6">
            <w:pPr>
              <w:jc w:val="center"/>
              <w:rPr>
                <w:lang w:eastAsia="es-ES"/>
              </w:rPr>
            </w:pPr>
          </w:p>
          <w:p w:rsidR="00BD0ED6" w:rsidRDefault="00BD0ED6" w:rsidP="00C618A6">
            <w:pPr>
              <w:jc w:val="center"/>
              <w:rPr>
                <w:lang w:eastAsia="es-ES"/>
              </w:rPr>
            </w:pPr>
          </w:p>
          <w:p w:rsidR="00DC23A0" w:rsidRPr="00445511" w:rsidRDefault="00DC23A0" w:rsidP="00C618A6">
            <w:pPr>
              <w:jc w:val="center"/>
              <w:rPr>
                <w:lang w:eastAsia="es-ES"/>
              </w:rPr>
            </w:pPr>
          </w:p>
          <w:p w:rsidR="00453D12" w:rsidRPr="00445511" w:rsidRDefault="00453D12" w:rsidP="00C618A6">
            <w:pPr>
              <w:jc w:val="center"/>
              <w:rPr>
                <w:lang w:eastAsia="es-ES"/>
              </w:rPr>
            </w:pPr>
            <w:r w:rsidRPr="00445511">
              <w:rPr>
                <w:lang w:eastAsia="es-ES"/>
              </w:rPr>
              <w:t>___________________________</w:t>
            </w:r>
          </w:p>
          <w:p w:rsidR="00453D12" w:rsidRPr="00445511" w:rsidRDefault="00453D12" w:rsidP="00C618A6">
            <w:pPr>
              <w:jc w:val="center"/>
              <w:rPr>
                <w:lang w:eastAsia="es-ES"/>
              </w:rPr>
            </w:pPr>
            <w:r w:rsidRPr="00445511">
              <w:rPr>
                <w:lang w:eastAsia="es-ES"/>
              </w:rPr>
              <w:t>Lic.</w:t>
            </w:r>
            <w:r w:rsidR="00AA2227">
              <w:rPr>
                <w:lang w:eastAsia="es-ES"/>
              </w:rPr>
              <w:t xml:space="preserve"> Juan G</w:t>
            </w:r>
            <w:r w:rsidR="00160F06">
              <w:rPr>
                <w:lang w:eastAsia="es-ES"/>
              </w:rPr>
              <w:t>. Agüero González</w:t>
            </w:r>
          </w:p>
          <w:p w:rsidR="00453D12" w:rsidRPr="00445511" w:rsidRDefault="00453D12" w:rsidP="00C618A6">
            <w:pPr>
              <w:jc w:val="center"/>
              <w:rPr>
                <w:lang w:eastAsia="es-ES"/>
              </w:rPr>
            </w:pPr>
            <w:r w:rsidRPr="00445511">
              <w:rPr>
                <w:lang w:eastAsia="es-ES"/>
              </w:rPr>
              <w:t>Auditor Encargado</w:t>
            </w:r>
          </w:p>
        </w:tc>
        <w:tc>
          <w:tcPr>
            <w:tcW w:w="4580" w:type="dxa"/>
          </w:tcPr>
          <w:p w:rsidR="00CD444B" w:rsidRDefault="00CD444B" w:rsidP="00C618A6">
            <w:pPr>
              <w:jc w:val="center"/>
              <w:rPr>
                <w:lang w:eastAsia="es-ES"/>
              </w:rPr>
            </w:pPr>
          </w:p>
          <w:p w:rsidR="00BD0ED6" w:rsidRDefault="00BD0ED6" w:rsidP="00C618A6">
            <w:pPr>
              <w:jc w:val="center"/>
              <w:rPr>
                <w:lang w:eastAsia="es-ES"/>
              </w:rPr>
            </w:pPr>
          </w:p>
          <w:p w:rsidR="00C618A6" w:rsidRDefault="00C618A6" w:rsidP="00C618A6">
            <w:pPr>
              <w:jc w:val="center"/>
              <w:rPr>
                <w:lang w:eastAsia="es-ES"/>
              </w:rPr>
            </w:pPr>
          </w:p>
          <w:p w:rsidR="00DC23A0" w:rsidRPr="00445511" w:rsidRDefault="00DC23A0" w:rsidP="00C618A6">
            <w:pPr>
              <w:jc w:val="center"/>
              <w:rPr>
                <w:lang w:eastAsia="es-ES"/>
              </w:rPr>
            </w:pPr>
          </w:p>
          <w:p w:rsidR="00453D12" w:rsidRPr="00445511" w:rsidRDefault="00453D12" w:rsidP="00C618A6">
            <w:pPr>
              <w:jc w:val="center"/>
              <w:rPr>
                <w:lang w:eastAsia="es-ES"/>
              </w:rPr>
            </w:pPr>
            <w:r w:rsidRPr="00445511">
              <w:rPr>
                <w:lang w:eastAsia="es-ES"/>
              </w:rPr>
              <w:t>_________________________</w:t>
            </w:r>
          </w:p>
          <w:p w:rsidR="00453D12" w:rsidRPr="00445511" w:rsidRDefault="00CD444B" w:rsidP="00C618A6">
            <w:pPr>
              <w:jc w:val="center"/>
              <w:rPr>
                <w:lang w:eastAsia="es-ES"/>
              </w:rPr>
            </w:pPr>
            <w:r w:rsidRPr="00445511">
              <w:rPr>
                <w:lang w:eastAsia="es-ES"/>
              </w:rPr>
              <w:t>Lic</w:t>
            </w:r>
            <w:r w:rsidR="00160F06">
              <w:rPr>
                <w:lang w:eastAsia="es-ES"/>
              </w:rPr>
              <w:t>da</w:t>
            </w:r>
            <w:r w:rsidR="00453D12" w:rsidRPr="00445511">
              <w:rPr>
                <w:lang w:eastAsia="es-ES"/>
              </w:rPr>
              <w:t xml:space="preserve">. </w:t>
            </w:r>
            <w:r w:rsidR="00160F06">
              <w:rPr>
                <w:lang w:eastAsia="es-ES"/>
              </w:rPr>
              <w:t>Alejandra Cabezas Saurez</w:t>
            </w:r>
          </w:p>
          <w:p w:rsidR="00453D12" w:rsidRPr="00445511" w:rsidRDefault="00160F06" w:rsidP="00C618A6">
            <w:pPr>
              <w:jc w:val="center"/>
              <w:rPr>
                <w:lang w:eastAsia="es-ES"/>
              </w:rPr>
            </w:pPr>
            <w:r>
              <w:rPr>
                <w:lang w:eastAsia="es-ES"/>
              </w:rPr>
              <w:t>Jefe a.i. Dpto. Auditoría Administrativa</w:t>
            </w:r>
          </w:p>
        </w:tc>
      </w:tr>
      <w:tr w:rsidR="00C618A6" w:rsidRPr="00445511" w:rsidTr="001C2F38">
        <w:tc>
          <w:tcPr>
            <w:tcW w:w="4248" w:type="dxa"/>
          </w:tcPr>
          <w:p w:rsidR="00C618A6" w:rsidRDefault="00C618A6" w:rsidP="00C618A6">
            <w:pPr>
              <w:jc w:val="center"/>
              <w:rPr>
                <w:lang w:eastAsia="es-ES"/>
              </w:rPr>
            </w:pPr>
          </w:p>
          <w:p w:rsidR="00C618A6" w:rsidRDefault="00C618A6" w:rsidP="00C618A6">
            <w:pPr>
              <w:jc w:val="center"/>
              <w:rPr>
                <w:lang w:eastAsia="es-ES"/>
              </w:rPr>
            </w:pPr>
          </w:p>
          <w:p w:rsidR="00BD0ED6" w:rsidRDefault="00BD0ED6" w:rsidP="00C618A6">
            <w:pPr>
              <w:jc w:val="center"/>
              <w:rPr>
                <w:lang w:eastAsia="es-ES"/>
              </w:rPr>
            </w:pPr>
          </w:p>
          <w:p w:rsidR="00BD0ED6" w:rsidRDefault="00BD0ED6" w:rsidP="00C618A6">
            <w:pPr>
              <w:jc w:val="center"/>
              <w:rPr>
                <w:lang w:eastAsia="es-ES"/>
              </w:rPr>
            </w:pPr>
          </w:p>
          <w:p w:rsidR="00C618A6" w:rsidRDefault="00C618A6" w:rsidP="00C618A6">
            <w:pPr>
              <w:jc w:val="center"/>
              <w:rPr>
                <w:lang w:eastAsia="es-ES"/>
              </w:rPr>
            </w:pPr>
            <w:r>
              <w:rPr>
                <w:lang w:eastAsia="es-ES"/>
              </w:rPr>
              <w:t>___________________________</w:t>
            </w:r>
          </w:p>
          <w:p w:rsidR="00C618A6" w:rsidRDefault="00C618A6" w:rsidP="00C618A6">
            <w:pPr>
              <w:jc w:val="center"/>
              <w:rPr>
                <w:lang w:eastAsia="es-ES"/>
              </w:rPr>
            </w:pPr>
            <w:r>
              <w:rPr>
                <w:lang w:eastAsia="es-ES"/>
              </w:rPr>
              <w:t>Lic</w:t>
            </w:r>
            <w:r w:rsidRPr="00445511">
              <w:rPr>
                <w:lang w:eastAsia="es-ES"/>
              </w:rPr>
              <w:t xml:space="preserve">. </w:t>
            </w:r>
            <w:r>
              <w:rPr>
                <w:lang w:eastAsia="es-ES"/>
              </w:rPr>
              <w:t>Julio Rodríguez Céspedes</w:t>
            </w:r>
          </w:p>
          <w:p w:rsidR="00C618A6" w:rsidRDefault="00C618A6" w:rsidP="00C618A6">
            <w:pPr>
              <w:jc w:val="center"/>
              <w:rPr>
                <w:lang w:eastAsia="es-ES"/>
              </w:rPr>
            </w:pPr>
            <w:r w:rsidRPr="00445511">
              <w:rPr>
                <w:lang w:eastAsia="es-ES"/>
              </w:rPr>
              <w:t>SUBAUDITOR</w:t>
            </w:r>
            <w:r>
              <w:rPr>
                <w:lang w:eastAsia="es-ES"/>
              </w:rPr>
              <w:t xml:space="preserve"> INTERNO</w:t>
            </w:r>
          </w:p>
          <w:p w:rsidR="00C618A6" w:rsidRDefault="00C618A6" w:rsidP="00C618A6">
            <w:pPr>
              <w:jc w:val="center"/>
              <w:rPr>
                <w:lang w:eastAsia="es-ES"/>
              </w:rPr>
            </w:pPr>
          </w:p>
          <w:p w:rsidR="00C618A6" w:rsidRDefault="00C618A6" w:rsidP="00C618A6">
            <w:pPr>
              <w:jc w:val="center"/>
              <w:rPr>
                <w:lang w:eastAsia="es-ES"/>
              </w:rPr>
            </w:pPr>
          </w:p>
        </w:tc>
        <w:tc>
          <w:tcPr>
            <w:tcW w:w="4580" w:type="dxa"/>
          </w:tcPr>
          <w:p w:rsidR="00C618A6" w:rsidRDefault="00C618A6" w:rsidP="00C618A6">
            <w:pPr>
              <w:jc w:val="center"/>
              <w:rPr>
                <w:lang w:eastAsia="es-ES"/>
              </w:rPr>
            </w:pPr>
          </w:p>
          <w:p w:rsidR="00BD0ED6" w:rsidRDefault="00BD0ED6" w:rsidP="00C618A6">
            <w:pPr>
              <w:jc w:val="center"/>
              <w:rPr>
                <w:lang w:eastAsia="es-ES"/>
              </w:rPr>
            </w:pPr>
          </w:p>
          <w:p w:rsidR="00BD0ED6" w:rsidRDefault="00BD0ED6" w:rsidP="00C618A6">
            <w:pPr>
              <w:jc w:val="center"/>
              <w:rPr>
                <w:lang w:eastAsia="es-ES"/>
              </w:rPr>
            </w:pPr>
          </w:p>
          <w:p w:rsidR="00C618A6" w:rsidRDefault="00C618A6" w:rsidP="00C618A6">
            <w:pPr>
              <w:jc w:val="center"/>
              <w:rPr>
                <w:lang w:eastAsia="es-ES"/>
              </w:rPr>
            </w:pPr>
          </w:p>
          <w:p w:rsidR="00C618A6" w:rsidRDefault="00C618A6" w:rsidP="00C618A6">
            <w:pPr>
              <w:jc w:val="center"/>
              <w:rPr>
                <w:lang w:eastAsia="es-ES"/>
              </w:rPr>
            </w:pPr>
            <w:r>
              <w:rPr>
                <w:lang w:eastAsia="es-ES"/>
              </w:rPr>
              <w:t>__________________________</w:t>
            </w:r>
          </w:p>
          <w:p w:rsidR="00C618A6" w:rsidRDefault="00C618A6" w:rsidP="00C618A6">
            <w:pPr>
              <w:jc w:val="center"/>
              <w:rPr>
                <w:lang w:eastAsia="es-ES"/>
              </w:rPr>
            </w:pPr>
            <w:r w:rsidRPr="00445511">
              <w:rPr>
                <w:lang w:eastAsia="es-ES"/>
              </w:rPr>
              <w:t>MBA. Edier Navarro Esquivel</w:t>
            </w:r>
          </w:p>
          <w:p w:rsidR="00C618A6" w:rsidRPr="00445511" w:rsidRDefault="00C618A6" w:rsidP="00C618A6">
            <w:pPr>
              <w:jc w:val="center"/>
              <w:rPr>
                <w:lang w:eastAsia="es-ES"/>
              </w:rPr>
            </w:pPr>
            <w:r>
              <w:rPr>
                <w:lang w:eastAsia="es-ES"/>
              </w:rPr>
              <w:t>AUDITOR INTERNO</w:t>
            </w:r>
          </w:p>
          <w:p w:rsidR="00C618A6" w:rsidRDefault="00C618A6" w:rsidP="00C618A6">
            <w:pPr>
              <w:jc w:val="center"/>
              <w:rPr>
                <w:lang w:eastAsia="es-ES"/>
              </w:rPr>
            </w:pPr>
          </w:p>
        </w:tc>
      </w:tr>
    </w:tbl>
    <w:p w:rsidR="00BF18AD" w:rsidRDefault="00A96749" w:rsidP="00DD5342">
      <w:pPr>
        <w:pStyle w:val="Sinespaciado"/>
        <w:jc w:val="right"/>
        <w:rPr>
          <w:b/>
          <w:sz w:val="20"/>
          <w:szCs w:val="20"/>
          <w:lang w:val="es-CR" w:eastAsia="es-ES"/>
        </w:rPr>
      </w:pPr>
      <w:r>
        <w:rPr>
          <w:b/>
          <w:sz w:val="20"/>
          <w:szCs w:val="20"/>
          <w:lang w:val="es-CR" w:eastAsia="es-ES"/>
        </w:rPr>
        <w:t>Estudio 48-18</w:t>
      </w:r>
    </w:p>
    <w:p w:rsidR="00562A73" w:rsidRDefault="00562A73" w:rsidP="00DD5342">
      <w:pPr>
        <w:pStyle w:val="Sinespaciado"/>
        <w:jc w:val="right"/>
        <w:rPr>
          <w:b/>
          <w:sz w:val="20"/>
          <w:szCs w:val="20"/>
          <w:lang w:val="es-CR" w:eastAsia="es-ES"/>
        </w:rPr>
      </w:pPr>
    </w:p>
    <w:p w:rsidR="006C6D06" w:rsidRDefault="00BD0ED6" w:rsidP="00BD0ED6">
      <w:pPr>
        <w:suppressAutoHyphens w:val="0"/>
        <w:spacing w:after="200" w:line="276" w:lineRule="auto"/>
        <w:rPr>
          <w:b/>
          <w:sz w:val="20"/>
          <w:szCs w:val="20"/>
          <w:lang w:val="es-CR" w:eastAsia="es-ES"/>
        </w:rPr>
      </w:pPr>
      <w:r>
        <w:rPr>
          <w:b/>
          <w:sz w:val="20"/>
          <w:szCs w:val="20"/>
          <w:lang w:val="es-CR" w:eastAsia="es-ES"/>
        </w:rPr>
        <w:br w:type="page"/>
      </w:r>
    </w:p>
    <w:p w:rsidR="00562A73" w:rsidRDefault="00562A73" w:rsidP="00562A73">
      <w:pPr>
        <w:pStyle w:val="Ttulo2"/>
        <w:spacing w:before="0" w:beforeAutospacing="0" w:after="0" w:afterAutospacing="0"/>
        <w:rPr>
          <w:szCs w:val="24"/>
          <w:lang w:val="es-CR"/>
        </w:rPr>
      </w:pPr>
      <w:r w:rsidRPr="00562A73">
        <w:rPr>
          <w:szCs w:val="24"/>
          <w:lang w:val="es-CR"/>
        </w:rPr>
        <w:lastRenderedPageBreak/>
        <w:t xml:space="preserve">7 ANEXOS </w:t>
      </w:r>
    </w:p>
    <w:p w:rsidR="00DC23A0" w:rsidRPr="00562A73" w:rsidRDefault="00DC23A0" w:rsidP="00562A73">
      <w:pPr>
        <w:pStyle w:val="Ttulo2"/>
        <w:spacing w:before="0" w:beforeAutospacing="0" w:after="0" w:afterAutospacing="0"/>
        <w:rPr>
          <w:szCs w:val="24"/>
          <w:lang w:val="es-CR"/>
        </w:rPr>
      </w:pPr>
    </w:p>
    <w:p w:rsidR="00562A73" w:rsidRDefault="00562A73" w:rsidP="00562A73">
      <w:pPr>
        <w:jc w:val="center"/>
        <w:rPr>
          <w:b/>
        </w:rPr>
      </w:pPr>
      <w:r>
        <w:rPr>
          <w:b/>
        </w:rPr>
        <w:t>Anexo N° 1</w:t>
      </w:r>
    </w:p>
    <w:p w:rsidR="00562A73" w:rsidRDefault="00562A73" w:rsidP="00562A73">
      <w:pPr>
        <w:jc w:val="center"/>
        <w:rPr>
          <w:b/>
        </w:rPr>
      </w:pPr>
      <w:r w:rsidRPr="00360D13">
        <w:rPr>
          <w:b/>
        </w:rPr>
        <w:t>Valoración de observaciones al borrador de informe de auditoría</w:t>
      </w:r>
    </w:p>
    <w:tbl>
      <w:tblPr>
        <w:tblW w:w="8618" w:type="dxa"/>
        <w:jc w:val="center"/>
        <w:tblLayout w:type="fixed"/>
        <w:tblCellMar>
          <w:left w:w="0" w:type="dxa"/>
          <w:right w:w="0" w:type="dxa"/>
        </w:tblCellMar>
        <w:tblLook w:val="04A0" w:firstRow="1" w:lastRow="0" w:firstColumn="1" w:lastColumn="0" w:noHBand="0" w:noVBand="1"/>
      </w:tblPr>
      <w:tblGrid>
        <w:gridCol w:w="1376"/>
        <w:gridCol w:w="2493"/>
        <w:gridCol w:w="416"/>
        <w:gridCol w:w="554"/>
        <w:gridCol w:w="617"/>
        <w:gridCol w:w="3162"/>
      </w:tblGrid>
      <w:tr w:rsidR="00562A73" w:rsidTr="00DC23A0">
        <w:trPr>
          <w:trHeight w:val="231"/>
          <w:jc w:val="center"/>
        </w:trPr>
        <w:tc>
          <w:tcPr>
            <w:tcW w:w="1376" w:type="dxa"/>
            <w:vMerge w:val="restart"/>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vAlign w:val="center"/>
            <w:hideMark/>
          </w:tcPr>
          <w:p w:rsidR="00562A73" w:rsidRDefault="00562A73" w:rsidP="004234DD">
            <w:pPr>
              <w:jc w:val="center"/>
              <w:rPr>
                <w:b/>
                <w:bCs/>
              </w:rPr>
            </w:pPr>
            <w:r>
              <w:rPr>
                <w:b/>
                <w:bCs/>
              </w:rPr>
              <w:t>Apartado del Informe</w:t>
            </w:r>
          </w:p>
        </w:tc>
        <w:tc>
          <w:tcPr>
            <w:tcW w:w="2493" w:type="dxa"/>
            <w:vMerge w:val="restart"/>
            <w:tcBorders>
              <w:top w:val="single" w:sz="8" w:space="0" w:color="auto"/>
              <w:left w:val="nil"/>
              <w:right w:val="single" w:sz="8" w:space="0" w:color="auto"/>
            </w:tcBorders>
            <w:shd w:val="clear" w:color="auto" w:fill="19A8FF"/>
          </w:tcPr>
          <w:p w:rsidR="00562A73" w:rsidRDefault="00562A73" w:rsidP="004234DD">
            <w:pPr>
              <w:jc w:val="center"/>
              <w:rPr>
                <w:b/>
                <w:bCs/>
              </w:rPr>
            </w:pPr>
            <w:r>
              <w:rPr>
                <w:b/>
                <w:bCs/>
              </w:rPr>
              <w:t xml:space="preserve">Observaciones de los auditados </w:t>
            </w:r>
          </w:p>
        </w:tc>
        <w:tc>
          <w:tcPr>
            <w:tcW w:w="1587" w:type="dxa"/>
            <w:gridSpan w:val="3"/>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hideMark/>
          </w:tcPr>
          <w:p w:rsidR="00562A73" w:rsidRDefault="00562A73" w:rsidP="004234DD">
            <w:pPr>
              <w:jc w:val="center"/>
              <w:rPr>
                <w:b/>
                <w:bCs/>
              </w:rPr>
            </w:pPr>
            <w:r>
              <w:rPr>
                <w:b/>
                <w:bCs/>
              </w:rPr>
              <w:t>Se acoge</w:t>
            </w:r>
          </w:p>
        </w:tc>
        <w:tc>
          <w:tcPr>
            <w:tcW w:w="3162" w:type="dxa"/>
            <w:vMerge w:val="restart"/>
            <w:tcBorders>
              <w:top w:val="single" w:sz="8" w:space="0" w:color="auto"/>
              <w:left w:val="nil"/>
              <w:bottom w:val="single" w:sz="8" w:space="0" w:color="auto"/>
              <w:right w:val="single" w:sz="8" w:space="0" w:color="auto"/>
            </w:tcBorders>
            <w:shd w:val="clear" w:color="auto" w:fill="19A8FF"/>
            <w:tcMar>
              <w:top w:w="0" w:type="dxa"/>
              <w:left w:w="108" w:type="dxa"/>
              <w:bottom w:w="0" w:type="dxa"/>
              <w:right w:w="108" w:type="dxa"/>
            </w:tcMar>
            <w:vAlign w:val="center"/>
            <w:hideMark/>
          </w:tcPr>
          <w:p w:rsidR="00562A73" w:rsidRDefault="00562A73" w:rsidP="004234DD">
            <w:pPr>
              <w:jc w:val="center"/>
              <w:rPr>
                <w:b/>
                <w:bCs/>
              </w:rPr>
            </w:pPr>
            <w:r>
              <w:rPr>
                <w:b/>
                <w:bCs/>
              </w:rPr>
              <w:t xml:space="preserve">Criterio de la Auditoría </w:t>
            </w:r>
          </w:p>
        </w:tc>
      </w:tr>
      <w:tr w:rsidR="00DC23A0" w:rsidTr="00DC23A0">
        <w:trPr>
          <w:trHeight w:val="231"/>
          <w:jc w:val="center"/>
        </w:trPr>
        <w:tc>
          <w:tcPr>
            <w:tcW w:w="1376" w:type="dxa"/>
            <w:vMerge/>
            <w:tcBorders>
              <w:top w:val="single" w:sz="8" w:space="0" w:color="auto"/>
              <w:left w:val="single" w:sz="8" w:space="0" w:color="auto"/>
              <w:bottom w:val="single" w:sz="8" w:space="0" w:color="auto"/>
              <w:right w:val="single" w:sz="8" w:space="0" w:color="auto"/>
            </w:tcBorders>
            <w:vAlign w:val="center"/>
            <w:hideMark/>
          </w:tcPr>
          <w:p w:rsidR="00562A73" w:rsidRDefault="00562A73" w:rsidP="004234DD">
            <w:pPr>
              <w:rPr>
                <w:rFonts w:eastAsiaTheme="minorHAnsi"/>
                <w:b/>
                <w:bCs/>
                <w:sz w:val="22"/>
                <w:szCs w:val="22"/>
              </w:rPr>
            </w:pPr>
          </w:p>
        </w:tc>
        <w:tc>
          <w:tcPr>
            <w:tcW w:w="2493" w:type="dxa"/>
            <w:vMerge/>
            <w:tcBorders>
              <w:left w:val="nil"/>
              <w:bottom w:val="single" w:sz="8" w:space="0" w:color="auto"/>
              <w:right w:val="single" w:sz="8" w:space="0" w:color="auto"/>
            </w:tcBorders>
          </w:tcPr>
          <w:p w:rsidR="00562A73" w:rsidRDefault="00562A73" w:rsidP="004234DD">
            <w:pPr>
              <w:jc w:val="center"/>
              <w:rPr>
                <w:i/>
                <w:iCs/>
              </w:rPr>
            </w:pPr>
          </w:p>
        </w:tc>
        <w:tc>
          <w:tcPr>
            <w:tcW w:w="416" w:type="dxa"/>
            <w:tcBorders>
              <w:top w:val="single" w:sz="8" w:space="0" w:color="auto"/>
              <w:left w:val="single" w:sz="8" w:space="0" w:color="auto"/>
              <w:bottom w:val="single" w:sz="8" w:space="0" w:color="auto"/>
              <w:right w:val="single" w:sz="8" w:space="0" w:color="auto"/>
            </w:tcBorders>
            <w:shd w:val="clear" w:color="auto" w:fill="E1CC32"/>
            <w:tcMar>
              <w:top w:w="0" w:type="dxa"/>
              <w:left w:w="108" w:type="dxa"/>
              <w:bottom w:w="0" w:type="dxa"/>
              <w:right w:w="108" w:type="dxa"/>
            </w:tcMar>
            <w:hideMark/>
          </w:tcPr>
          <w:p w:rsidR="00562A73" w:rsidRDefault="00562A73" w:rsidP="004234DD">
            <w:pPr>
              <w:jc w:val="center"/>
              <w:rPr>
                <w:b/>
                <w:bCs/>
              </w:rPr>
            </w:pPr>
            <w:r>
              <w:rPr>
                <w:i/>
                <w:iCs/>
              </w:rPr>
              <w:t>Sí</w:t>
            </w:r>
          </w:p>
        </w:tc>
        <w:tc>
          <w:tcPr>
            <w:tcW w:w="554" w:type="dxa"/>
            <w:tcBorders>
              <w:top w:val="single" w:sz="8" w:space="0" w:color="auto"/>
              <w:left w:val="nil"/>
              <w:bottom w:val="single" w:sz="8" w:space="0" w:color="auto"/>
              <w:right w:val="single" w:sz="8" w:space="0" w:color="auto"/>
            </w:tcBorders>
            <w:shd w:val="clear" w:color="auto" w:fill="E1CC32"/>
            <w:tcMar>
              <w:top w:w="0" w:type="dxa"/>
              <w:left w:w="108" w:type="dxa"/>
              <w:bottom w:w="0" w:type="dxa"/>
              <w:right w:w="108" w:type="dxa"/>
            </w:tcMar>
            <w:hideMark/>
          </w:tcPr>
          <w:p w:rsidR="00562A73" w:rsidRDefault="00562A73" w:rsidP="004234DD">
            <w:pPr>
              <w:jc w:val="center"/>
              <w:rPr>
                <w:b/>
                <w:bCs/>
              </w:rPr>
            </w:pPr>
            <w:r>
              <w:rPr>
                <w:i/>
                <w:iCs/>
              </w:rPr>
              <w:t>No</w:t>
            </w:r>
          </w:p>
        </w:tc>
        <w:tc>
          <w:tcPr>
            <w:tcW w:w="616" w:type="dxa"/>
            <w:tcBorders>
              <w:top w:val="single" w:sz="8" w:space="0" w:color="auto"/>
              <w:left w:val="nil"/>
              <w:bottom w:val="single" w:sz="8" w:space="0" w:color="auto"/>
              <w:right w:val="single" w:sz="8" w:space="0" w:color="auto"/>
            </w:tcBorders>
            <w:shd w:val="clear" w:color="auto" w:fill="E1CC32"/>
            <w:tcMar>
              <w:top w:w="0" w:type="dxa"/>
              <w:left w:w="108" w:type="dxa"/>
              <w:bottom w:w="0" w:type="dxa"/>
              <w:right w:w="108" w:type="dxa"/>
            </w:tcMar>
            <w:hideMark/>
          </w:tcPr>
          <w:p w:rsidR="00562A73" w:rsidRDefault="00562A73" w:rsidP="004234DD">
            <w:pPr>
              <w:jc w:val="center"/>
              <w:rPr>
                <w:b/>
                <w:bCs/>
              </w:rPr>
            </w:pPr>
            <w:r>
              <w:rPr>
                <w:i/>
                <w:iCs/>
              </w:rPr>
              <w:t>Parcial</w:t>
            </w:r>
          </w:p>
        </w:tc>
        <w:tc>
          <w:tcPr>
            <w:tcW w:w="3162" w:type="dxa"/>
            <w:vMerge/>
            <w:tcBorders>
              <w:top w:val="single" w:sz="8" w:space="0" w:color="auto"/>
              <w:left w:val="nil"/>
              <w:bottom w:val="single" w:sz="8" w:space="0" w:color="auto"/>
              <w:right w:val="single" w:sz="8" w:space="0" w:color="auto"/>
            </w:tcBorders>
            <w:vAlign w:val="center"/>
            <w:hideMark/>
          </w:tcPr>
          <w:p w:rsidR="00562A73" w:rsidRDefault="00562A73" w:rsidP="004234DD">
            <w:pPr>
              <w:rPr>
                <w:rFonts w:eastAsiaTheme="minorHAnsi"/>
                <w:b/>
                <w:bCs/>
                <w:sz w:val="22"/>
                <w:szCs w:val="22"/>
              </w:rPr>
            </w:pPr>
          </w:p>
        </w:tc>
      </w:tr>
      <w:tr w:rsidR="00562A73" w:rsidRPr="006D47CA" w:rsidTr="00DC23A0">
        <w:trPr>
          <w:trHeight w:val="273"/>
          <w:jc w:val="center"/>
        </w:trPr>
        <w:tc>
          <w:tcPr>
            <w:tcW w:w="1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A73" w:rsidRPr="00DC23A0" w:rsidRDefault="006D47CA" w:rsidP="006D47CA">
            <w:pPr>
              <w:jc w:val="both"/>
              <w:rPr>
                <w:color w:val="0A0A0A"/>
                <w:w w:val="105"/>
                <w:sz w:val="22"/>
                <w:szCs w:val="22"/>
              </w:rPr>
            </w:pPr>
            <w:r w:rsidRPr="00DC23A0">
              <w:rPr>
                <w:color w:val="0A0A0A"/>
                <w:w w:val="105"/>
                <w:sz w:val="22"/>
                <w:szCs w:val="22"/>
              </w:rPr>
              <w:t xml:space="preserve">Eliminar comentario </w:t>
            </w:r>
            <w:r w:rsidRPr="00DC23A0">
              <w:rPr>
                <w:b/>
                <w:color w:val="0A0A0A"/>
                <w:w w:val="105"/>
                <w:sz w:val="22"/>
                <w:szCs w:val="22"/>
              </w:rPr>
              <w:t>2.3</w:t>
            </w:r>
            <w:r w:rsidRPr="00DC23A0">
              <w:rPr>
                <w:color w:val="0A0A0A"/>
                <w:w w:val="105"/>
                <w:sz w:val="22"/>
                <w:szCs w:val="22"/>
              </w:rPr>
              <w:t xml:space="preserve"> y</w:t>
            </w:r>
            <w:r w:rsidR="009118F6">
              <w:rPr>
                <w:color w:val="0A0A0A"/>
                <w:w w:val="105"/>
                <w:sz w:val="22"/>
                <w:szCs w:val="22"/>
              </w:rPr>
              <w:t xml:space="preserve"> </w:t>
            </w:r>
            <w:r w:rsidRPr="00DC23A0">
              <w:rPr>
                <w:color w:val="0A0A0A"/>
                <w:w w:val="105"/>
                <w:sz w:val="22"/>
                <w:szCs w:val="22"/>
              </w:rPr>
              <w:t>r</w:t>
            </w:r>
            <w:r w:rsidR="00562A73" w:rsidRPr="00DC23A0">
              <w:rPr>
                <w:color w:val="0A0A0A"/>
                <w:w w:val="105"/>
                <w:sz w:val="22"/>
                <w:szCs w:val="22"/>
              </w:rPr>
              <w:t xml:space="preserve">ecomendación </w:t>
            </w:r>
            <w:r w:rsidR="00562A73" w:rsidRPr="00DC23A0">
              <w:rPr>
                <w:b/>
                <w:color w:val="0A0A0A"/>
                <w:w w:val="105"/>
                <w:sz w:val="22"/>
                <w:szCs w:val="22"/>
              </w:rPr>
              <w:t>4.4</w:t>
            </w:r>
            <w:r w:rsidRPr="00DC23A0">
              <w:rPr>
                <w:b/>
                <w:color w:val="0A0A0A"/>
                <w:w w:val="105"/>
                <w:sz w:val="22"/>
                <w:szCs w:val="22"/>
              </w:rPr>
              <w:t xml:space="preserve">, </w:t>
            </w:r>
            <w:r w:rsidRPr="00DC23A0">
              <w:rPr>
                <w:color w:val="0A0A0A"/>
                <w:w w:val="105"/>
                <w:sz w:val="22"/>
                <w:szCs w:val="22"/>
              </w:rPr>
              <w:t>referente a</w:t>
            </w:r>
          </w:p>
          <w:p w:rsidR="00562A73" w:rsidRPr="00DC23A0" w:rsidRDefault="00562A73" w:rsidP="006D47CA">
            <w:pPr>
              <w:jc w:val="both"/>
              <w:rPr>
                <w:color w:val="0A0A0A"/>
                <w:w w:val="105"/>
                <w:sz w:val="22"/>
                <w:szCs w:val="22"/>
              </w:rPr>
            </w:pPr>
            <w:r w:rsidRPr="00DC23A0">
              <w:rPr>
                <w:color w:val="0A0A0A"/>
                <w:w w:val="105"/>
                <w:sz w:val="22"/>
                <w:szCs w:val="22"/>
              </w:rPr>
              <w:t>Solicitudes de Pedido</w:t>
            </w:r>
          </w:p>
        </w:tc>
        <w:tc>
          <w:tcPr>
            <w:tcW w:w="2493" w:type="dxa"/>
            <w:tcBorders>
              <w:top w:val="single" w:sz="8" w:space="0" w:color="auto"/>
              <w:left w:val="nil"/>
              <w:bottom w:val="single" w:sz="8" w:space="0" w:color="auto"/>
              <w:right w:val="single" w:sz="8" w:space="0" w:color="auto"/>
            </w:tcBorders>
          </w:tcPr>
          <w:p w:rsidR="00562A73" w:rsidRPr="00DC23A0" w:rsidRDefault="006D47CA" w:rsidP="006C6D06">
            <w:pPr>
              <w:jc w:val="both"/>
              <w:rPr>
                <w:i/>
                <w:iCs/>
                <w:sz w:val="22"/>
                <w:szCs w:val="22"/>
              </w:rPr>
            </w:pPr>
            <w:r w:rsidRPr="00DC23A0">
              <w:rPr>
                <w:iCs/>
                <w:sz w:val="22"/>
                <w:szCs w:val="22"/>
              </w:rPr>
              <w:t xml:space="preserve">Ver </w:t>
            </w:r>
            <w:r w:rsidR="00562A73" w:rsidRPr="00DC23A0">
              <w:rPr>
                <w:iCs/>
                <w:sz w:val="22"/>
                <w:szCs w:val="22"/>
              </w:rPr>
              <w:t xml:space="preserve">Oficio: </w:t>
            </w:r>
            <w:r w:rsidR="00562A73" w:rsidRPr="00DC23A0">
              <w:rPr>
                <w:b/>
                <w:iCs/>
                <w:sz w:val="22"/>
                <w:szCs w:val="22"/>
              </w:rPr>
              <w:t>DF-DECEP-0137-2020</w:t>
            </w:r>
            <w:r w:rsidRPr="00DC23A0">
              <w:rPr>
                <w:iCs/>
                <w:sz w:val="22"/>
                <w:szCs w:val="22"/>
              </w:rPr>
              <w:t>.</w:t>
            </w:r>
            <w:r w:rsidR="006C6D06" w:rsidRPr="00DC23A0">
              <w:rPr>
                <w:iCs/>
                <w:sz w:val="22"/>
                <w:szCs w:val="22"/>
              </w:rPr>
              <w:t xml:space="preserve"> </w:t>
            </w:r>
            <w:r w:rsidRPr="00DC23A0">
              <w:rPr>
                <w:i/>
                <w:iCs/>
                <w:sz w:val="22"/>
                <w:szCs w:val="22"/>
              </w:rPr>
              <w:t>..</w:t>
            </w:r>
            <w:r w:rsidR="00562A73" w:rsidRPr="00DC23A0">
              <w:rPr>
                <w:i/>
                <w:iCs/>
                <w:sz w:val="22"/>
                <w:szCs w:val="22"/>
              </w:rPr>
              <w:t>.Los datos indispensables para identificar los trámites son el Número de Solicitud de Pedido SICOP y Número de Solicitud de Pedido SIGAF…El registro del número de contratación en la boleta no es aplicable a todos los casos…</w:t>
            </w:r>
          </w:p>
        </w:tc>
        <w:tc>
          <w:tcPr>
            <w:tcW w:w="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62A73" w:rsidRPr="00DC23A0" w:rsidRDefault="006D47CA" w:rsidP="004234DD">
            <w:pPr>
              <w:jc w:val="center"/>
              <w:rPr>
                <w:iCs/>
                <w:sz w:val="22"/>
                <w:szCs w:val="22"/>
              </w:rPr>
            </w:pPr>
            <w:r w:rsidRPr="00DC23A0">
              <w:rPr>
                <w:iCs/>
                <w:sz w:val="22"/>
                <w:szCs w:val="22"/>
              </w:rPr>
              <w:t>X</w:t>
            </w:r>
          </w:p>
        </w:tc>
        <w:tc>
          <w:tcPr>
            <w:tcW w:w="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62A73" w:rsidRPr="00DC23A0" w:rsidRDefault="00562A73" w:rsidP="004234DD">
            <w:pPr>
              <w:jc w:val="center"/>
              <w:rPr>
                <w:sz w:val="22"/>
                <w:szCs w:val="22"/>
              </w:rPr>
            </w:pPr>
          </w:p>
        </w:tc>
        <w:tc>
          <w:tcPr>
            <w:tcW w:w="6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62A73" w:rsidRPr="00DC23A0" w:rsidRDefault="00562A73" w:rsidP="004234DD">
            <w:pPr>
              <w:rPr>
                <w:iCs/>
                <w:sz w:val="22"/>
                <w:szCs w:val="22"/>
              </w:rPr>
            </w:pPr>
          </w:p>
        </w:tc>
        <w:tc>
          <w:tcPr>
            <w:tcW w:w="31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62A73" w:rsidRPr="00DC23A0" w:rsidRDefault="006D47CA" w:rsidP="004234DD">
            <w:pPr>
              <w:autoSpaceDE w:val="0"/>
              <w:autoSpaceDN w:val="0"/>
              <w:adjustRightInd w:val="0"/>
              <w:jc w:val="both"/>
              <w:rPr>
                <w:sz w:val="22"/>
                <w:szCs w:val="22"/>
              </w:rPr>
            </w:pPr>
            <w:r w:rsidRPr="00DC23A0">
              <w:rPr>
                <w:sz w:val="22"/>
                <w:szCs w:val="22"/>
              </w:rPr>
              <w:t xml:space="preserve">Se acoge, por cuanto las solicitudes de pedido tipo 006, por ser un trámite nuevo, todavía no cuentan con un número de contratación administrativa. En cuanto a las solicitudes 008, existe un correo electrónico en cada expediente, con el </w:t>
            </w:r>
            <w:r w:rsidR="005E32AE" w:rsidRPr="00DC23A0">
              <w:rPr>
                <w:sz w:val="22"/>
                <w:szCs w:val="22"/>
              </w:rPr>
              <w:t xml:space="preserve">respectivo </w:t>
            </w:r>
            <w:r w:rsidRPr="00DC23A0">
              <w:rPr>
                <w:sz w:val="22"/>
                <w:szCs w:val="22"/>
              </w:rPr>
              <w:t>número de contratación administrativa.</w:t>
            </w:r>
          </w:p>
        </w:tc>
      </w:tr>
    </w:tbl>
    <w:p w:rsidR="00562A73" w:rsidRPr="00445511" w:rsidRDefault="00562A73" w:rsidP="00DC23A0">
      <w:pPr>
        <w:pStyle w:val="Sinespaciado"/>
        <w:jc w:val="right"/>
        <w:rPr>
          <w:b/>
          <w:sz w:val="20"/>
          <w:szCs w:val="20"/>
          <w:lang w:val="es-CR" w:eastAsia="es-ES"/>
        </w:rPr>
      </w:pPr>
    </w:p>
    <w:sectPr w:rsidR="00562A73" w:rsidRPr="00445511" w:rsidSect="00DD5342">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9D3" w:rsidRDefault="00E319D3" w:rsidP="006E3FF9">
      <w:r>
        <w:separator/>
      </w:r>
    </w:p>
  </w:endnote>
  <w:endnote w:type="continuationSeparator" w:id="0">
    <w:p w:rsidR="00E319D3" w:rsidRDefault="00E319D3"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0E" w:rsidRDefault="00E25D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68" w:rsidRPr="0049389B" w:rsidRDefault="007E32B1"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9118F6">
      <w:rPr>
        <w:b/>
        <w:bCs/>
        <w:noProof/>
        <w:lang w:eastAsia="es-ES"/>
      </w:rPr>
      <w:t>10</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9118F6">
      <w:rPr>
        <w:b/>
        <w:bCs/>
        <w:noProof/>
        <w:lang w:eastAsia="es-ES"/>
      </w:rPr>
      <w:t>10</w:t>
    </w:r>
    <w:r w:rsidRPr="0049389B">
      <w:rPr>
        <w:b/>
        <w:bCs/>
        <w:lang w:eastAsia="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sidR="00445511">
      <w:rPr>
        <w:sz w:val="18"/>
        <w:szCs w:val="18"/>
        <w:lang w:val="es-CR"/>
      </w:rPr>
      <w:t>,</w:t>
    </w:r>
    <w:r>
      <w:rPr>
        <w:sz w:val="18"/>
        <w:szCs w:val="18"/>
        <w:lang w:val="es-CR"/>
      </w:rPr>
      <w:t xml:space="preserve"> </w:t>
    </w:r>
    <w:r w:rsidR="00445511">
      <w:rPr>
        <w:sz w:val="18"/>
        <w:szCs w:val="18"/>
        <w:lang w:val="es-CR"/>
      </w:rPr>
      <w:t>P</w:t>
    </w:r>
    <w:r>
      <w:rPr>
        <w:sz w:val="18"/>
        <w:szCs w:val="18"/>
        <w:lang w:val="es-CR"/>
      </w:rPr>
      <w:t>iso</w:t>
    </w:r>
    <w:r w:rsidR="00445511">
      <w:rPr>
        <w:sz w:val="18"/>
        <w:szCs w:val="18"/>
        <w:lang w:val="es-CR"/>
      </w:rPr>
      <w:t xml:space="preserve"> 7</w:t>
    </w:r>
    <w:r>
      <w:rPr>
        <w:sz w:val="18"/>
        <w:szCs w:val="18"/>
        <w:lang w:val="es-CR"/>
      </w:rPr>
      <w:t xml:space="preserve"> edificio Raventós, San José</w:t>
    </w:r>
  </w:p>
  <w:p w:rsidR="007E32B1" w:rsidRPr="008D1E78" w:rsidRDefault="007E32B1" w:rsidP="0007096A">
    <w:pPr>
      <w:pStyle w:val="Piedepgina"/>
      <w:rPr>
        <w:sz w:val="20"/>
        <w:szCs w:val="20"/>
      </w:rPr>
    </w:pPr>
    <w:r>
      <w:rPr>
        <w:sz w:val="18"/>
        <w:szCs w:val="18"/>
      </w:rPr>
      <w:tab/>
    </w:r>
    <w:r>
      <w:rPr>
        <w:sz w:val="18"/>
        <w:szCs w:val="18"/>
        <w:lang w:val="it-IT"/>
      </w:rPr>
      <w:t>Correo:</w:t>
    </w:r>
    <w:r w:rsidR="008D1E78">
      <w:rPr>
        <w:sz w:val="20"/>
        <w:szCs w:val="20"/>
      </w:rPr>
      <w:t xml:space="preserve"> </w:t>
    </w:r>
    <w:hyperlink r:id="rId1" w:history="1">
      <w:r w:rsidR="008D1E78" w:rsidRPr="008D1E78">
        <w:rPr>
          <w:rStyle w:val="Hipervnculo"/>
          <w:sz w:val="18"/>
          <w:szCs w:val="18"/>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9D3" w:rsidRDefault="00E319D3" w:rsidP="006E3FF9">
      <w:r>
        <w:separator/>
      </w:r>
    </w:p>
  </w:footnote>
  <w:footnote w:type="continuationSeparator" w:id="0">
    <w:p w:rsidR="00E319D3" w:rsidRDefault="00E319D3"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0E" w:rsidRDefault="00E25D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E25D0E" w:rsidRDefault="00E25D0E" w:rsidP="00A6549D">
    <w:pPr>
      <w:pBdr>
        <w:bottom w:val="single" w:sz="4" w:space="1" w:color="auto"/>
      </w:pBdr>
      <w:tabs>
        <w:tab w:val="left" w:pos="7371"/>
      </w:tabs>
      <w:rPr>
        <w:b/>
        <w:bCs/>
        <w:lang w:eastAsia="es-ES"/>
      </w:rPr>
    </w:pPr>
    <w:r w:rsidRPr="00E25D0E">
      <w:rPr>
        <w:b/>
        <w:bCs/>
        <w:lang w:eastAsia="es-ES"/>
      </w:rPr>
      <w:t>INFORME 11-2020</w:t>
    </w:r>
    <w:r w:rsidRPr="00E25D0E">
      <w:rPr>
        <w:b/>
      </w:rPr>
      <w:t xml:space="preserve"> DEPTO</w:t>
    </w:r>
    <w:r>
      <w:rPr>
        <w:b/>
      </w:rPr>
      <w:t>.</w:t>
    </w:r>
    <w:r w:rsidRPr="00E25D0E">
      <w:rPr>
        <w:b/>
      </w:rPr>
      <w:t xml:space="preserve"> DE CONTROL Y EVALUACIÓN PRESUPUESTARIA </w:t>
    </w:r>
  </w:p>
  <w:p w:rsidR="007E32B1" w:rsidRPr="00A6549D" w:rsidRDefault="007E32B1" w:rsidP="00A6549D">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E55" w:rsidRDefault="003A0E55"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margin">
                <wp:posOffset>2406015</wp:posOffset>
              </wp:positionH>
              <wp:positionV relativeFrom="paragraph">
                <wp:posOffset>-264160</wp:posOffset>
              </wp:positionV>
              <wp:extent cx="3667125" cy="92392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923925"/>
                      </a:xfrm>
                      <a:prstGeom prst="rect">
                        <a:avLst/>
                      </a:prstGeom>
                      <a:noFill/>
                      <a:ln>
                        <a:noFill/>
                      </a:ln>
                      <a:extLst/>
                    </wps:spPr>
                    <wps:txbx>
                      <w:txbxContent>
                        <w:p w:rsidR="00A30544" w:rsidRDefault="00D0405E"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INFORME</w:t>
                          </w:r>
                          <w:r w:rsidR="00DC23A0">
                            <w:rPr>
                              <w:rFonts w:ascii="Times New Roman" w:hAnsi="Times New Roman"/>
                              <w:b/>
                              <w:sz w:val="28"/>
                              <w:szCs w:val="28"/>
                              <w:lang w:val="es-ES" w:eastAsia="es-ES"/>
                            </w:rPr>
                            <w:t xml:space="preserve"> </w:t>
                          </w:r>
                          <w:r w:rsidR="00E25D0E">
                            <w:rPr>
                              <w:rFonts w:ascii="Times New Roman" w:hAnsi="Times New Roman"/>
                              <w:b/>
                              <w:sz w:val="28"/>
                              <w:szCs w:val="28"/>
                              <w:lang w:val="es-ES" w:eastAsia="es-ES"/>
                            </w:rPr>
                            <w:t>11-</w:t>
                          </w:r>
                          <w:r w:rsidR="00DC23A0">
                            <w:rPr>
                              <w:rFonts w:ascii="Times New Roman" w:hAnsi="Times New Roman"/>
                              <w:b/>
                              <w:sz w:val="28"/>
                              <w:szCs w:val="28"/>
                              <w:lang w:val="es-ES" w:eastAsia="es-ES"/>
                            </w:rPr>
                            <w:t>2020</w:t>
                          </w:r>
                          <w:r>
                            <w:rPr>
                              <w:rFonts w:ascii="Times New Roman" w:hAnsi="Times New Roman"/>
                              <w:b/>
                              <w:sz w:val="28"/>
                              <w:szCs w:val="28"/>
                              <w:lang w:val="es-ES" w:eastAsia="es-ES"/>
                            </w:rPr>
                            <w:t xml:space="preserve"> </w:t>
                          </w:r>
                        </w:p>
                        <w:p w:rsidR="001A2BF1" w:rsidRPr="00E25D0E" w:rsidRDefault="00E25D0E"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rPr>
                            <w:t xml:space="preserve">DEPARTAMENTO DE CONTROL Y </w:t>
                          </w:r>
                          <w:r w:rsidRPr="00E25D0E">
                            <w:rPr>
                              <w:rFonts w:ascii="Times New Roman" w:hAnsi="Times New Roman"/>
                              <w:b/>
                              <w:sz w:val="28"/>
                              <w:szCs w:val="28"/>
                            </w:rPr>
                            <w:t>EVALUACIÓN PRESUPUESTARIA</w:t>
                          </w:r>
                          <w:r w:rsidRPr="00E25D0E">
                            <w:rPr>
                              <w:rFonts w:ascii="Times New Roman" w:hAnsi="Times New Roman"/>
                              <w:b/>
                              <w:sz w:val="28"/>
                              <w:szCs w:val="28"/>
                              <w:lang w:val="es-ES" w:eastAsia="es-ES"/>
                            </w:rPr>
                            <w:t xml:space="preserve"> </w:t>
                          </w:r>
                          <w:r>
                            <w:rPr>
                              <w:rFonts w:ascii="Times New Roman" w:hAnsi="Times New Roman"/>
                              <w:b/>
                              <w:sz w:val="28"/>
                              <w:szCs w:val="28"/>
                              <w:lang w:val="es-ES" w:eastAsia="es-ES"/>
                            </w:rPr>
                            <w:t>(</w:t>
                          </w:r>
                          <w:r w:rsidRPr="00E25D0E">
                            <w:rPr>
                              <w:rFonts w:ascii="Times New Roman" w:hAnsi="Times New Roman"/>
                              <w:b/>
                              <w:sz w:val="28"/>
                              <w:szCs w:val="28"/>
                              <w:lang w:val="es-ES" w:eastAsia="es-ES"/>
                            </w:rPr>
                            <w:t>DECEP</w:t>
                          </w:r>
                          <w:r>
                            <w:rPr>
                              <w:rFonts w:ascii="Times New Roman" w:hAnsi="Times New Roman"/>
                              <w:b/>
                              <w:sz w:val="28"/>
                              <w:szCs w:val="28"/>
                              <w:lang w:val="es-ES" w:eastAsia="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89.45pt;margin-top:-20.8pt;width:288.75pt;height:7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" filled="f" stroked="f">
              <v:textbox>
                <w:txbxContent>
                  <w:p w:rsidR="00A30544" w:rsidRDefault="00D0405E"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INFORME</w:t>
                    </w:r>
                    <w:r w:rsidR="00DC23A0">
                      <w:rPr>
                        <w:rFonts w:ascii="Times New Roman" w:hAnsi="Times New Roman"/>
                        <w:b/>
                        <w:sz w:val="28"/>
                        <w:szCs w:val="28"/>
                        <w:lang w:val="es-ES" w:eastAsia="es-ES"/>
                      </w:rPr>
                      <w:t xml:space="preserve"> </w:t>
                    </w:r>
                    <w:r w:rsidR="00E25D0E">
                      <w:rPr>
                        <w:rFonts w:ascii="Times New Roman" w:hAnsi="Times New Roman"/>
                        <w:b/>
                        <w:sz w:val="28"/>
                        <w:szCs w:val="28"/>
                        <w:lang w:val="es-ES" w:eastAsia="es-ES"/>
                      </w:rPr>
                      <w:t>11-</w:t>
                    </w:r>
                    <w:r w:rsidR="00DC23A0">
                      <w:rPr>
                        <w:rFonts w:ascii="Times New Roman" w:hAnsi="Times New Roman"/>
                        <w:b/>
                        <w:sz w:val="28"/>
                        <w:szCs w:val="28"/>
                        <w:lang w:val="es-ES" w:eastAsia="es-ES"/>
                      </w:rPr>
                      <w:t>2020</w:t>
                    </w:r>
                    <w:r>
                      <w:rPr>
                        <w:rFonts w:ascii="Times New Roman" w:hAnsi="Times New Roman"/>
                        <w:b/>
                        <w:sz w:val="28"/>
                        <w:szCs w:val="28"/>
                        <w:lang w:val="es-ES" w:eastAsia="es-ES"/>
                      </w:rPr>
                      <w:t xml:space="preserve"> </w:t>
                    </w:r>
                  </w:p>
                  <w:p w:rsidR="001A2BF1" w:rsidRPr="00E25D0E" w:rsidRDefault="00E25D0E"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rPr>
                      <w:t xml:space="preserve">DEPARTAMENTO DE CONTROL Y </w:t>
                    </w:r>
                    <w:r w:rsidRPr="00E25D0E">
                      <w:rPr>
                        <w:rFonts w:ascii="Times New Roman" w:hAnsi="Times New Roman"/>
                        <w:b/>
                        <w:sz w:val="28"/>
                        <w:szCs w:val="28"/>
                      </w:rPr>
                      <w:t>EVALUACIÓN PRESUPUESTARIA</w:t>
                    </w:r>
                    <w:r w:rsidRPr="00E25D0E">
                      <w:rPr>
                        <w:rFonts w:ascii="Times New Roman" w:hAnsi="Times New Roman"/>
                        <w:b/>
                        <w:sz w:val="28"/>
                        <w:szCs w:val="28"/>
                        <w:lang w:val="es-ES" w:eastAsia="es-ES"/>
                      </w:rPr>
                      <w:t xml:space="preserve"> </w:t>
                    </w:r>
                    <w:r>
                      <w:rPr>
                        <w:rFonts w:ascii="Times New Roman" w:hAnsi="Times New Roman"/>
                        <w:b/>
                        <w:sz w:val="28"/>
                        <w:szCs w:val="28"/>
                        <w:lang w:val="es-ES" w:eastAsia="es-ES"/>
                      </w:rPr>
                      <w:t>(</w:t>
                    </w:r>
                    <w:r w:rsidRPr="00E25D0E">
                      <w:rPr>
                        <w:rFonts w:ascii="Times New Roman" w:hAnsi="Times New Roman"/>
                        <w:b/>
                        <w:sz w:val="28"/>
                        <w:szCs w:val="28"/>
                        <w:lang w:val="es-ES" w:eastAsia="es-ES"/>
                      </w:rPr>
                      <w:t>DECEP</w:t>
                    </w:r>
                    <w:r>
                      <w:rPr>
                        <w:rFonts w:ascii="Times New Roman" w:hAnsi="Times New Roman"/>
                        <w:b/>
                        <w:sz w:val="28"/>
                        <w:szCs w:val="28"/>
                        <w:lang w:val="es-ES" w:eastAsia="es-ES"/>
                      </w:rPr>
                      <w:t>)</w:t>
                    </w:r>
                  </w:p>
                </w:txbxContent>
              </v:textbox>
              <w10:wrap anchorx="margin"/>
            </v:shape>
          </w:pict>
        </mc:Fallback>
      </mc:AlternateContent>
    </w:r>
    <w:r>
      <w:rPr>
        <w:rFonts w:ascii="Times New Roman" w:hAnsi="Times New Roman"/>
        <w:noProof/>
        <w:lang w:eastAsia="es-CR"/>
      </w:rPr>
      <w:drawing>
        <wp:inline distT="0" distB="0" distL="0" distR="0" wp14:anchorId="3A3E950E" wp14:editId="0DE90505">
          <wp:extent cx="2392680" cy="64698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rsidR="007E32B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2E54"/>
    <w:multiLevelType w:val="multilevel"/>
    <w:tmpl w:val="7C0C4D56"/>
    <w:lvl w:ilvl="0">
      <w:start w:val="1"/>
      <w:numFmt w:val="decimal"/>
      <w:pStyle w:val="Encabezado1"/>
      <w:lvlText w:val="%1."/>
      <w:lvlJc w:val="left"/>
      <w:pPr>
        <w:ind w:left="360" w:hanging="360"/>
      </w:pPr>
    </w:lvl>
    <w:lvl w:ilvl="1">
      <w:start w:val="1"/>
      <w:numFmt w:val="decimal"/>
      <w:pStyle w:val="Encabezado2"/>
      <w:lvlText w:val="%1.%2."/>
      <w:lvlJc w:val="left"/>
      <w:pPr>
        <w:ind w:left="432" w:hanging="432"/>
      </w:pPr>
    </w:lvl>
    <w:lvl w:ilvl="2">
      <w:start w:val="1"/>
      <w:numFmt w:val="decimal"/>
      <w:pStyle w:val="Encabezado3"/>
      <w:lvlText w:val="%1.%2.%3."/>
      <w:lvlJc w:val="left"/>
      <w:pPr>
        <w:ind w:left="1224" w:hanging="504"/>
      </w:pPr>
    </w:lvl>
    <w:lvl w:ilvl="3">
      <w:start w:val="1"/>
      <w:numFmt w:val="decimal"/>
      <w:pStyle w:val="Encabezad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C25BD7"/>
    <w:multiLevelType w:val="hybridMultilevel"/>
    <w:tmpl w:val="3034BD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31A5106"/>
    <w:multiLevelType w:val="hybridMultilevel"/>
    <w:tmpl w:val="3754DF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4BE34B3"/>
    <w:multiLevelType w:val="multilevel"/>
    <w:tmpl w:val="E9528F8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606EDA"/>
    <w:multiLevelType w:val="hybridMultilevel"/>
    <w:tmpl w:val="CA8AA7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1B477AF"/>
    <w:multiLevelType w:val="hybridMultilevel"/>
    <w:tmpl w:val="72280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DD74CB"/>
    <w:multiLevelType w:val="hybridMultilevel"/>
    <w:tmpl w:val="E21613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A7D1DBA"/>
    <w:multiLevelType w:val="hybridMultilevel"/>
    <w:tmpl w:val="386633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9193361"/>
    <w:multiLevelType w:val="multilevel"/>
    <w:tmpl w:val="A92A5508"/>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0" w15:restartNumberingAfterBreak="0">
    <w:nsid w:val="6B142A82"/>
    <w:multiLevelType w:val="hybridMultilevel"/>
    <w:tmpl w:val="CDD646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B2C3C94"/>
    <w:multiLevelType w:val="hybridMultilevel"/>
    <w:tmpl w:val="716EE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1882D78"/>
    <w:multiLevelType w:val="multilevel"/>
    <w:tmpl w:val="3D9AC2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9"/>
  </w:num>
  <w:num w:numId="3">
    <w:abstractNumId w:val="0"/>
  </w:num>
  <w:num w:numId="4">
    <w:abstractNumId w:val="5"/>
  </w:num>
  <w:num w:numId="5">
    <w:abstractNumId w:val="11"/>
  </w:num>
  <w:num w:numId="6">
    <w:abstractNumId w:val="12"/>
  </w:num>
  <w:num w:numId="7">
    <w:abstractNumId w:val="3"/>
  </w:num>
  <w:num w:numId="8">
    <w:abstractNumId w:val="7"/>
  </w:num>
  <w:num w:numId="9">
    <w:abstractNumId w:val="10"/>
  </w:num>
  <w:num w:numId="10">
    <w:abstractNumId w:val="1"/>
  </w:num>
  <w:num w:numId="11">
    <w:abstractNumId w:val="6"/>
  </w:num>
  <w:num w:numId="12">
    <w:abstractNumId w:val="4"/>
  </w:num>
  <w:num w:numId="1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0E2"/>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23B"/>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1814"/>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87A4F"/>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DC3"/>
    <w:rsid w:val="000C1F13"/>
    <w:rsid w:val="000C2A59"/>
    <w:rsid w:val="000C31D0"/>
    <w:rsid w:val="000C3613"/>
    <w:rsid w:val="000C3DF7"/>
    <w:rsid w:val="000C4297"/>
    <w:rsid w:val="000C4AB6"/>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AC2"/>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5EC"/>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7AE"/>
    <w:rsid w:val="00100CC6"/>
    <w:rsid w:val="00100FBC"/>
    <w:rsid w:val="00102698"/>
    <w:rsid w:val="0010278E"/>
    <w:rsid w:val="00102D18"/>
    <w:rsid w:val="00102E36"/>
    <w:rsid w:val="001038DE"/>
    <w:rsid w:val="00103B1E"/>
    <w:rsid w:val="00103E45"/>
    <w:rsid w:val="00104376"/>
    <w:rsid w:val="0010538C"/>
    <w:rsid w:val="001059E6"/>
    <w:rsid w:val="001067B1"/>
    <w:rsid w:val="001067EE"/>
    <w:rsid w:val="0010709E"/>
    <w:rsid w:val="00107A2F"/>
    <w:rsid w:val="00110104"/>
    <w:rsid w:val="0011023B"/>
    <w:rsid w:val="001109C4"/>
    <w:rsid w:val="00110CD3"/>
    <w:rsid w:val="00110E3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84C"/>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06"/>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0EAD"/>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0F06"/>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7C9"/>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8B7"/>
    <w:rsid w:val="00182929"/>
    <w:rsid w:val="00182999"/>
    <w:rsid w:val="00182D3A"/>
    <w:rsid w:val="00183508"/>
    <w:rsid w:val="001835BD"/>
    <w:rsid w:val="0018374F"/>
    <w:rsid w:val="00183E65"/>
    <w:rsid w:val="00183F18"/>
    <w:rsid w:val="00183F45"/>
    <w:rsid w:val="001847E1"/>
    <w:rsid w:val="00184966"/>
    <w:rsid w:val="00185232"/>
    <w:rsid w:val="00185233"/>
    <w:rsid w:val="0018590E"/>
    <w:rsid w:val="00185941"/>
    <w:rsid w:val="00185985"/>
    <w:rsid w:val="00186217"/>
    <w:rsid w:val="00186598"/>
    <w:rsid w:val="00186A7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268"/>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AB"/>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06DF"/>
    <w:rsid w:val="001C149F"/>
    <w:rsid w:val="001C16FC"/>
    <w:rsid w:val="001C1739"/>
    <w:rsid w:val="001C1886"/>
    <w:rsid w:val="001C1889"/>
    <w:rsid w:val="001C1C64"/>
    <w:rsid w:val="001C1E04"/>
    <w:rsid w:val="001C1ED3"/>
    <w:rsid w:val="001C24A2"/>
    <w:rsid w:val="001C25F5"/>
    <w:rsid w:val="001C2623"/>
    <w:rsid w:val="001C2968"/>
    <w:rsid w:val="001C2DAB"/>
    <w:rsid w:val="001C2F38"/>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0D1"/>
    <w:rsid w:val="001F792B"/>
    <w:rsid w:val="002004DF"/>
    <w:rsid w:val="002006C5"/>
    <w:rsid w:val="0020098C"/>
    <w:rsid w:val="00200F1D"/>
    <w:rsid w:val="00202572"/>
    <w:rsid w:val="00202B67"/>
    <w:rsid w:val="00202E88"/>
    <w:rsid w:val="00203B21"/>
    <w:rsid w:val="00203D27"/>
    <w:rsid w:val="00204225"/>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2C16"/>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0D6"/>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176B"/>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58B"/>
    <w:rsid w:val="00272EDE"/>
    <w:rsid w:val="00273A2D"/>
    <w:rsid w:val="00273AB4"/>
    <w:rsid w:val="00274075"/>
    <w:rsid w:val="002748D3"/>
    <w:rsid w:val="00274C56"/>
    <w:rsid w:val="00274CC7"/>
    <w:rsid w:val="00275EB2"/>
    <w:rsid w:val="00276684"/>
    <w:rsid w:val="002766BB"/>
    <w:rsid w:val="002774B3"/>
    <w:rsid w:val="00277713"/>
    <w:rsid w:val="00277F2D"/>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4FB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3F3F"/>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B7CEE"/>
    <w:rsid w:val="002C0201"/>
    <w:rsid w:val="002C073A"/>
    <w:rsid w:val="002C0DED"/>
    <w:rsid w:val="002C1668"/>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340"/>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3EC8"/>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03C"/>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3959"/>
    <w:rsid w:val="003541DD"/>
    <w:rsid w:val="00354553"/>
    <w:rsid w:val="00354784"/>
    <w:rsid w:val="00354932"/>
    <w:rsid w:val="00355ACE"/>
    <w:rsid w:val="00355C3F"/>
    <w:rsid w:val="003565F3"/>
    <w:rsid w:val="0035687B"/>
    <w:rsid w:val="00356891"/>
    <w:rsid w:val="00356B23"/>
    <w:rsid w:val="00357BDD"/>
    <w:rsid w:val="00360897"/>
    <w:rsid w:val="00360A9A"/>
    <w:rsid w:val="00360D13"/>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305"/>
    <w:rsid w:val="00382740"/>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9A3"/>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387"/>
    <w:rsid w:val="004014D3"/>
    <w:rsid w:val="0040196D"/>
    <w:rsid w:val="00401AE5"/>
    <w:rsid w:val="00401CDF"/>
    <w:rsid w:val="00401FB5"/>
    <w:rsid w:val="00402266"/>
    <w:rsid w:val="00402514"/>
    <w:rsid w:val="004027C8"/>
    <w:rsid w:val="00402A14"/>
    <w:rsid w:val="00403446"/>
    <w:rsid w:val="0040384A"/>
    <w:rsid w:val="00403CF7"/>
    <w:rsid w:val="004041FA"/>
    <w:rsid w:val="0040422A"/>
    <w:rsid w:val="0040450B"/>
    <w:rsid w:val="0040479D"/>
    <w:rsid w:val="00404F7F"/>
    <w:rsid w:val="0040533D"/>
    <w:rsid w:val="00405600"/>
    <w:rsid w:val="00406263"/>
    <w:rsid w:val="00406A57"/>
    <w:rsid w:val="00406FA4"/>
    <w:rsid w:val="00407C42"/>
    <w:rsid w:val="00407EEC"/>
    <w:rsid w:val="004100C6"/>
    <w:rsid w:val="00410AFE"/>
    <w:rsid w:val="0041127D"/>
    <w:rsid w:val="004117BE"/>
    <w:rsid w:val="004128B1"/>
    <w:rsid w:val="00413542"/>
    <w:rsid w:val="00413984"/>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6DE"/>
    <w:rsid w:val="00426FEA"/>
    <w:rsid w:val="0042798C"/>
    <w:rsid w:val="00427B30"/>
    <w:rsid w:val="00427EB6"/>
    <w:rsid w:val="004301E7"/>
    <w:rsid w:val="004309FC"/>
    <w:rsid w:val="00430FA9"/>
    <w:rsid w:val="00431039"/>
    <w:rsid w:val="0043118D"/>
    <w:rsid w:val="004313C1"/>
    <w:rsid w:val="004313E4"/>
    <w:rsid w:val="00431E37"/>
    <w:rsid w:val="0043216B"/>
    <w:rsid w:val="004323DA"/>
    <w:rsid w:val="00432882"/>
    <w:rsid w:val="004328E6"/>
    <w:rsid w:val="00432B4B"/>
    <w:rsid w:val="00432D09"/>
    <w:rsid w:val="004332B3"/>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47F"/>
    <w:rsid w:val="004437ED"/>
    <w:rsid w:val="004439A7"/>
    <w:rsid w:val="00444009"/>
    <w:rsid w:val="00444216"/>
    <w:rsid w:val="00444423"/>
    <w:rsid w:val="00444517"/>
    <w:rsid w:val="00444C80"/>
    <w:rsid w:val="00445007"/>
    <w:rsid w:val="00445511"/>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3F6"/>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09EB"/>
    <w:rsid w:val="004910E6"/>
    <w:rsid w:val="00491317"/>
    <w:rsid w:val="004916DB"/>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12E"/>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0E2"/>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8EE"/>
    <w:rsid w:val="004C192F"/>
    <w:rsid w:val="004C1AA3"/>
    <w:rsid w:val="004C1E07"/>
    <w:rsid w:val="004C1E4F"/>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340"/>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1BF"/>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1944"/>
    <w:rsid w:val="00532158"/>
    <w:rsid w:val="005322D5"/>
    <w:rsid w:val="00532575"/>
    <w:rsid w:val="00533047"/>
    <w:rsid w:val="0053311F"/>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0A9"/>
    <w:rsid w:val="005412A7"/>
    <w:rsid w:val="00541596"/>
    <w:rsid w:val="00541DD0"/>
    <w:rsid w:val="00541E65"/>
    <w:rsid w:val="0054225E"/>
    <w:rsid w:val="00542D9F"/>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A73"/>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CF2"/>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7D"/>
    <w:rsid w:val="005B2DB9"/>
    <w:rsid w:val="005B3046"/>
    <w:rsid w:val="005B3733"/>
    <w:rsid w:val="005B38E1"/>
    <w:rsid w:val="005B3C64"/>
    <w:rsid w:val="005B40BB"/>
    <w:rsid w:val="005B45B7"/>
    <w:rsid w:val="005B46BA"/>
    <w:rsid w:val="005B48B0"/>
    <w:rsid w:val="005B4A5A"/>
    <w:rsid w:val="005B4BA0"/>
    <w:rsid w:val="005B5068"/>
    <w:rsid w:val="005B51CE"/>
    <w:rsid w:val="005B5208"/>
    <w:rsid w:val="005B554C"/>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2AE"/>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4A6"/>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85A"/>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2002"/>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DC"/>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589B"/>
    <w:rsid w:val="006568D6"/>
    <w:rsid w:val="00656BCF"/>
    <w:rsid w:val="00656D57"/>
    <w:rsid w:val="00657028"/>
    <w:rsid w:val="0065794B"/>
    <w:rsid w:val="00657DA5"/>
    <w:rsid w:val="00657F14"/>
    <w:rsid w:val="0066038F"/>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8B1"/>
    <w:rsid w:val="00670D95"/>
    <w:rsid w:val="00670EDC"/>
    <w:rsid w:val="00671673"/>
    <w:rsid w:val="00671A56"/>
    <w:rsid w:val="00672404"/>
    <w:rsid w:val="00672AE7"/>
    <w:rsid w:val="006732BB"/>
    <w:rsid w:val="00673C9C"/>
    <w:rsid w:val="00674460"/>
    <w:rsid w:val="006748BC"/>
    <w:rsid w:val="00675DEA"/>
    <w:rsid w:val="0067614F"/>
    <w:rsid w:val="006761EC"/>
    <w:rsid w:val="006762AF"/>
    <w:rsid w:val="0067639B"/>
    <w:rsid w:val="006764DD"/>
    <w:rsid w:val="00676990"/>
    <w:rsid w:val="00676B2B"/>
    <w:rsid w:val="00676B2D"/>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4E47"/>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4A2"/>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12C"/>
    <w:rsid w:val="006A7256"/>
    <w:rsid w:val="006A7523"/>
    <w:rsid w:val="006A7D31"/>
    <w:rsid w:val="006B0096"/>
    <w:rsid w:val="006B0452"/>
    <w:rsid w:val="006B060F"/>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6D06"/>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7CA"/>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28B"/>
    <w:rsid w:val="006E0CEB"/>
    <w:rsid w:val="006E135D"/>
    <w:rsid w:val="006E18D3"/>
    <w:rsid w:val="006E1CCE"/>
    <w:rsid w:val="006E1F70"/>
    <w:rsid w:val="006E3354"/>
    <w:rsid w:val="006E3FF9"/>
    <w:rsid w:val="006E44B4"/>
    <w:rsid w:val="006E4CA5"/>
    <w:rsid w:val="006E4F96"/>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14E"/>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4BB"/>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85"/>
    <w:rsid w:val="007649FC"/>
    <w:rsid w:val="00764F81"/>
    <w:rsid w:val="00765553"/>
    <w:rsid w:val="00765707"/>
    <w:rsid w:val="00765B18"/>
    <w:rsid w:val="00765C43"/>
    <w:rsid w:val="00765D49"/>
    <w:rsid w:val="0076620A"/>
    <w:rsid w:val="007662C0"/>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2DF0"/>
    <w:rsid w:val="00793783"/>
    <w:rsid w:val="00793C3D"/>
    <w:rsid w:val="00793E37"/>
    <w:rsid w:val="00794643"/>
    <w:rsid w:val="00794728"/>
    <w:rsid w:val="007949D4"/>
    <w:rsid w:val="00794E6C"/>
    <w:rsid w:val="00795601"/>
    <w:rsid w:val="007957D4"/>
    <w:rsid w:val="00795999"/>
    <w:rsid w:val="00795CAB"/>
    <w:rsid w:val="007961BC"/>
    <w:rsid w:val="00796C24"/>
    <w:rsid w:val="007973AB"/>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3D4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0C47"/>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5B"/>
    <w:rsid w:val="007E51F8"/>
    <w:rsid w:val="007E60A6"/>
    <w:rsid w:val="007E702A"/>
    <w:rsid w:val="007E7B88"/>
    <w:rsid w:val="007E7EF9"/>
    <w:rsid w:val="007F081F"/>
    <w:rsid w:val="007F08BD"/>
    <w:rsid w:val="007F08C3"/>
    <w:rsid w:val="007F146D"/>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6EA6"/>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078"/>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5CA2"/>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75"/>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5BD"/>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80F"/>
    <w:rsid w:val="008B3D19"/>
    <w:rsid w:val="008B3DEB"/>
    <w:rsid w:val="008B3F29"/>
    <w:rsid w:val="008B5174"/>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25F"/>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E78"/>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1D12"/>
    <w:rsid w:val="008F216B"/>
    <w:rsid w:val="008F3004"/>
    <w:rsid w:val="008F332B"/>
    <w:rsid w:val="008F3841"/>
    <w:rsid w:val="008F3C67"/>
    <w:rsid w:val="008F3DFA"/>
    <w:rsid w:val="008F46ED"/>
    <w:rsid w:val="008F4B09"/>
    <w:rsid w:val="008F5244"/>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8F6"/>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E5E"/>
    <w:rsid w:val="00917EDC"/>
    <w:rsid w:val="009206F8"/>
    <w:rsid w:val="00921031"/>
    <w:rsid w:val="00921177"/>
    <w:rsid w:val="00922233"/>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A3E"/>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82B"/>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A23"/>
    <w:rsid w:val="00953B15"/>
    <w:rsid w:val="00953B8D"/>
    <w:rsid w:val="009541EC"/>
    <w:rsid w:val="009543F7"/>
    <w:rsid w:val="00954B73"/>
    <w:rsid w:val="00955341"/>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B0C"/>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6CD5"/>
    <w:rsid w:val="009B73FB"/>
    <w:rsid w:val="009B7568"/>
    <w:rsid w:val="009B756E"/>
    <w:rsid w:val="009B76C2"/>
    <w:rsid w:val="009B775E"/>
    <w:rsid w:val="009C02D5"/>
    <w:rsid w:val="009C0BE8"/>
    <w:rsid w:val="009C1550"/>
    <w:rsid w:val="009C1DEC"/>
    <w:rsid w:val="009C24A7"/>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3AD4"/>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43F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9F739D"/>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790"/>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5844"/>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093"/>
    <w:rsid w:val="00A2679F"/>
    <w:rsid w:val="00A2682F"/>
    <w:rsid w:val="00A268B7"/>
    <w:rsid w:val="00A26A7D"/>
    <w:rsid w:val="00A2717E"/>
    <w:rsid w:val="00A27B7B"/>
    <w:rsid w:val="00A30425"/>
    <w:rsid w:val="00A30544"/>
    <w:rsid w:val="00A30F68"/>
    <w:rsid w:val="00A31331"/>
    <w:rsid w:val="00A31D78"/>
    <w:rsid w:val="00A32075"/>
    <w:rsid w:val="00A32635"/>
    <w:rsid w:val="00A3267A"/>
    <w:rsid w:val="00A33141"/>
    <w:rsid w:val="00A33C14"/>
    <w:rsid w:val="00A33E05"/>
    <w:rsid w:val="00A3448C"/>
    <w:rsid w:val="00A34673"/>
    <w:rsid w:val="00A346F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0B4"/>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08"/>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749"/>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227"/>
    <w:rsid w:val="00AA2AF0"/>
    <w:rsid w:val="00AA3519"/>
    <w:rsid w:val="00AA35D7"/>
    <w:rsid w:val="00AA37F8"/>
    <w:rsid w:val="00AA3C0D"/>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707"/>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0C0"/>
    <w:rsid w:val="00B235F7"/>
    <w:rsid w:val="00B2386C"/>
    <w:rsid w:val="00B23AFB"/>
    <w:rsid w:val="00B23F1C"/>
    <w:rsid w:val="00B24ADE"/>
    <w:rsid w:val="00B24CFF"/>
    <w:rsid w:val="00B253E7"/>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1EF"/>
    <w:rsid w:val="00B5147C"/>
    <w:rsid w:val="00B5201F"/>
    <w:rsid w:val="00B520B8"/>
    <w:rsid w:val="00B5236F"/>
    <w:rsid w:val="00B527D7"/>
    <w:rsid w:val="00B5333A"/>
    <w:rsid w:val="00B53DAE"/>
    <w:rsid w:val="00B53E52"/>
    <w:rsid w:val="00B53E9E"/>
    <w:rsid w:val="00B54384"/>
    <w:rsid w:val="00B54436"/>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2F85"/>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B18"/>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6AE"/>
    <w:rsid w:val="00BB0D11"/>
    <w:rsid w:val="00BB0EE2"/>
    <w:rsid w:val="00BB1028"/>
    <w:rsid w:val="00BB11BD"/>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C7EBF"/>
    <w:rsid w:val="00BD0ED6"/>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42E"/>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8AD"/>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0FB4"/>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27FB3"/>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1D66"/>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92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26C"/>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8A6"/>
    <w:rsid w:val="00C61B5F"/>
    <w:rsid w:val="00C61B64"/>
    <w:rsid w:val="00C6217F"/>
    <w:rsid w:val="00C62234"/>
    <w:rsid w:val="00C623A9"/>
    <w:rsid w:val="00C628C5"/>
    <w:rsid w:val="00C62907"/>
    <w:rsid w:val="00C637A5"/>
    <w:rsid w:val="00C638E0"/>
    <w:rsid w:val="00C63F72"/>
    <w:rsid w:val="00C63FA1"/>
    <w:rsid w:val="00C642D2"/>
    <w:rsid w:val="00C64337"/>
    <w:rsid w:val="00C64E84"/>
    <w:rsid w:val="00C6546B"/>
    <w:rsid w:val="00C666D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4A9"/>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1A1"/>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6549"/>
    <w:rsid w:val="00CA6832"/>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24C"/>
    <w:rsid w:val="00D0131A"/>
    <w:rsid w:val="00D01487"/>
    <w:rsid w:val="00D01728"/>
    <w:rsid w:val="00D0241B"/>
    <w:rsid w:val="00D02B7C"/>
    <w:rsid w:val="00D02D81"/>
    <w:rsid w:val="00D031C0"/>
    <w:rsid w:val="00D0368C"/>
    <w:rsid w:val="00D03C61"/>
    <w:rsid w:val="00D03FF9"/>
    <w:rsid w:val="00D0405E"/>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07F6A"/>
    <w:rsid w:val="00D104FF"/>
    <w:rsid w:val="00D107A3"/>
    <w:rsid w:val="00D108AD"/>
    <w:rsid w:val="00D10ACD"/>
    <w:rsid w:val="00D10C6A"/>
    <w:rsid w:val="00D11037"/>
    <w:rsid w:val="00D115CF"/>
    <w:rsid w:val="00D11C00"/>
    <w:rsid w:val="00D11F88"/>
    <w:rsid w:val="00D11F96"/>
    <w:rsid w:val="00D11FCC"/>
    <w:rsid w:val="00D1225D"/>
    <w:rsid w:val="00D1268F"/>
    <w:rsid w:val="00D12C2C"/>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290"/>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25BA"/>
    <w:rsid w:val="00D633AE"/>
    <w:rsid w:val="00D6380B"/>
    <w:rsid w:val="00D639BC"/>
    <w:rsid w:val="00D63E6C"/>
    <w:rsid w:val="00D64041"/>
    <w:rsid w:val="00D64258"/>
    <w:rsid w:val="00D643D1"/>
    <w:rsid w:val="00D649EC"/>
    <w:rsid w:val="00D64E9F"/>
    <w:rsid w:val="00D6553A"/>
    <w:rsid w:val="00D65BD4"/>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0B1"/>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2E6F"/>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4BC4"/>
    <w:rsid w:val="00DA52FE"/>
    <w:rsid w:val="00DA57C2"/>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65D7"/>
    <w:rsid w:val="00DB79C7"/>
    <w:rsid w:val="00DB7AC8"/>
    <w:rsid w:val="00DC010A"/>
    <w:rsid w:val="00DC031A"/>
    <w:rsid w:val="00DC0D79"/>
    <w:rsid w:val="00DC0D96"/>
    <w:rsid w:val="00DC13F2"/>
    <w:rsid w:val="00DC159E"/>
    <w:rsid w:val="00DC17D5"/>
    <w:rsid w:val="00DC18E5"/>
    <w:rsid w:val="00DC1938"/>
    <w:rsid w:val="00DC1C12"/>
    <w:rsid w:val="00DC23A0"/>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342"/>
    <w:rsid w:val="00DD5A9C"/>
    <w:rsid w:val="00DD605A"/>
    <w:rsid w:val="00DD60B8"/>
    <w:rsid w:val="00DD6349"/>
    <w:rsid w:val="00DD64CD"/>
    <w:rsid w:val="00DD6AE9"/>
    <w:rsid w:val="00DD7048"/>
    <w:rsid w:val="00DD7B61"/>
    <w:rsid w:val="00DE0A03"/>
    <w:rsid w:val="00DE0A1A"/>
    <w:rsid w:val="00DE0A2E"/>
    <w:rsid w:val="00DE1474"/>
    <w:rsid w:val="00DE17B1"/>
    <w:rsid w:val="00DE1A74"/>
    <w:rsid w:val="00DE25DD"/>
    <w:rsid w:val="00DE27F6"/>
    <w:rsid w:val="00DE2811"/>
    <w:rsid w:val="00DE2976"/>
    <w:rsid w:val="00DE30B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DF7FF3"/>
    <w:rsid w:val="00E0143E"/>
    <w:rsid w:val="00E01842"/>
    <w:rsid w:val="00E01BA1"/>
    <w:rsid w:val="00E0215A"/>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5D0E"/>
    <w:rsid w:val="00E26749"/>
    <w:rsid w:val="00E26C60"/>
    <w:rsid w:val="00E273D6"/>
    <w:rsid w:val="00E276FA"/>
    <w:rsid w:val="00E27C67"/>
    <w:rsid w:val="00E3114F"/>
    <w:rsid w:val="00E319D3"/>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B0B"/>
    <w:rsid w:val="00E70EA7"/>
    <w:rsid w:val="00E7132A"/>
    <w:rsid w:val="00E71394"/>
    <w:rsid w:val="00E714FB"/>
    <w:rsid w:val="00E7173C"/>
    <w:rsid w:val="00E7190D"/>
    <w:rsid w:val="00E71D91"/>
    <w:rsid w:val="00E71F07"/>
    <w:rsid w:val="00E72056"/>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25D1"/>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116"/>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3F88"/>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1E70"/>
    <w:rsid w:val="00F02E49"/>
    <w:rsid w:val="00F032C1"/>
    <w:rsid w:val="00F03AF4"/>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B64"/>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470"/>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CD5"/>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0508"/>
    <w:rsid w:val="00FC0EE7"/>
    <w:rsid w:val="00FC20A7"/>
    <w:rsid w:val="00FC236D"/>
    <w:rsid w:val="00FC23A9"/>
    <w:rsid w:val="00FC2634"/>
    <w:rsid w:val="00FC298B"/>
    <w:rsid w:val="00FC2D40"/>
    <w:rsid w:val="00FC346F"/>
    <w:rsid w:val="00FC3995"/>
    <w:rsid w:val="00FC3D27"/>
    <w:rsid w:val="00FC4A59"/>
    <w:rsid w:val="00FC4A9E"/>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F03AF4"/>
    <w:pPr>
      <w:suppressAutoHyphens w:val="0"/>
      <w:spacing w:before="100" w:beforeAutospacing="1" w:after="100" w:afterAutospacing="1"/>
      <w:outlineLvl w:val="1"/>
    </w:pPr>
    <w:rPr>
      <w:b/>
      <w:bCs/>
      <w:szCs w:val="36"/>
      <w:lang w:eastAsia="es-ES"/>
    </w:rPr>
  </w:style>
  <w:style w:type="paragraph" w:styleId="Ttulo3">
    <w:name w:val="heading 3"/>
    <w:basedOn w:val="Normal"/>
    <w:next w:val="Normal"/>
    <w:link w:val="Ttulo3Car"/>
    <w:unhideWhenUsed/>
    <w:qFormat/>
    <w:rsid w:val="00F03AF4"/>
    <w:pPr>
      <w:keepNext/>
      <w:keepLines/>
      <w:spacing w:before="80"/>
      <w:outlineLvl w:val="2"/>
    </w:pPr>
    <w:rPr>
      <w:rFonts w:eastAsiaTheme="majorEastAsia" w:cstheme="majorBidi"/>
      <w:b/>
      <w:bCs/>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F03AF4"/>
    <w:rPr>
      <w:rFonts w:ascii="Times New Roman" w:eastAsia="Times New Roman" w:hAnsi="Times New Roman" w:cs="Times New Roman"/>
      <w:b/>
      <w:bCs/>
      <w:sz w:val="24"/>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F03AF4"/>
    <w:rPr>
      <w:rFonts w:ascii="Times New Roman" w:eastAsiaTheme="majorEastAsia" w:hAnsi="Times New Roman" w:cstheme="majorBidi"/>
      <w:b/>
      <w:bCs/>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qFormat/>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DD5342"/>
    <w:pPr>
      <w:tabs>
        <w:tab w:val="right" w:leader="dot" w:pos="8830"/>
      </w:tabs>
      <w:suppressAutoHyphens w:val="0"/>
      <w:ind w:left="567"/>
      <w:jc w:val="center"/>
    </w:pPr>
    <w:rPr>
      <w:rFonts w:eastAsiaTheme="majorEastAsia"/>
      <w:noProof/>
      <w:lang w:val="es-CR"/>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382740"/>
    <w:pPr>
      <w:tabs>
        <w:tab w:val="right" w:leader="dot" w:pos="8828"/>
      </w:tabs>
      <w:suppressAutoHyphens w:val="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DD5342"/>
    <w:pPr>
      <w:tabs>
        <w:tab w:val="left" w:pos="567"/>
        <w:tab w:val="right" w:leader="dot" w:pos="8828"/>
      </w:tabs>
      <w:suppressAutoHyphens w:val="0"/>
      <w:ind w:left="567" w:hanging="567"/>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cabezado1">
    <w:name w:val="Encabezado 1"/>
    <w:basedOn w:val="Normal"/>
    <w:next w:val="Normal"/>
    <w:qFormat/>
    <w:rsid w:val="00FC4A9E"/>
    <w:pPr>
      <w:numPr>
        <w:numId w:val="3"/>
      </w:numPr>
      <w:tabs>
        <w:tab w:val="left" w:pos="426"/>
      </w:tabs>
      <w:suppressAutoHyphens w:val="0"/>
      <w:jc w:val="both"/>
      <w:outlineLvl w:val="0"/>
    </w:pPr>
    <w:rPr>
      <w:rFonts w:ascii="Arial Narrow" w:eastAsia="SimSun" w:hAnsi="Arial Narrow" w:cs="Arial"/>
      <w:b/>
      <w:bCs/>
      <w:color w:val="000000"/>
      <w:sz w:val="22"/>
      <w:szCs w:val="22"/>
      <w:lang w:eastAsia="es-ES"/>
    </w:rPr>
  </w:style>
  <w:style w:type="paragraph" w:customStyle="1" w:styleId="Encabezado2">
    <w:name w:val="Encabezado 2"/>
    <w:basedOn w:val="Encabezado1"/>
    <w:next w:val="Normal"/>
    <w:unhideWhenUsed/>
    <w:qFormat/>
    <w:rsid w:val="00FC4A9E"/>
    <w:pPr>
      <w:numPr>
        <w:ilvl w:val="1"/>
      </w:numPr>
      <w:ind w:left="426" w:hanging="426"/>
    </w:pPr>
  </w:style>
  <w:style w:type="paragraph" w:customStyle="1" w:styleId="Encabezado3">
    <w:name w:val="Encabezado 3"/>
    <w:basedOn w:val="Encabezado2"/>
    <w:next w:val="Normal"/>
    <w:uiPriority w:val="9"/>
    <w:unhideWhenUsed/>
    <w:qFormat/>
    <w:rsid w:val="00FC4A9E"/>
    <w:pPr>
      <w:numPr>
        <w:ilvl w:val="2"/>
      </w:numPr>
      <w:ind w:left="567" w:hanging="567"/>
    </w:pPr>
  </w:style>
  <w:style w:type="paragraph" w:customStyle="1" w:styleId="Encabezado4">
    <w:name w:val="Encabezado 4"/>
    <w:basedOn w:val="Encabezado3"/>
    <w:next w:val="Normal"/>
    <w:uiPriority w:val="9"/>
    <w:unhideWhenUsed/>
    <w:qFormat/>
    <w:rsid w:val="00FC4A9E"/>
    <w:pPr>
      <w:numPr>
        <w:ilvl w:val="3"/>
      </w:numPr>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998D1-2E47-45EC-A5F3-D7F929B8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3143</Words>
  <Characters>17289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20392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Edier Navarro Esquivel</cp:lastModifiedBy>
  <cp:revision>16</cp:revision>
  <cp:lastPrinted>2016-05-16T14:14:00Z</cp:lastPrinted>
  <dcterms:created xsi:type="dcterms:W3CDTF">2020-02-26T19:17:00Z</dcterms:created>
  <dcterms:modified xsi:type="dcterms:W3CDTF">2020-03-11T19:13:00Z</dcterms:modified>
</cp:coreProperties>
</file>