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4C89A" w14:textId="6C78251C" w:rsidR="00DC246B" w:rsidRDefault="00562564" w:rsidP="007D533D">
      <w:pPr>
        <w:tabs>
          <w:tab w:val="left" w:pos="851"/>
          <w:tab w:val="right" w:pos="8830"/>
        </w:tabs>
        <w:jc w:val="center"/>
        <w:rPr>
          <w:b/>
        </w:rPr>
      </w:pPr>
      <w:r>
        <w:rPr>
          <w:b/>
        </w:rPr>
        <w:t>TABLA DE CONTENIDOS</w:t>
      </w:r>
    </w:p>
    <w:sdt>
      <w:sdtPr>
        <w:rPr>
          <w:rFonts w:ascii="Times New Roman" w:eastAsia="Times New Roman" w:hAnsi="Times New Roman" w:cs="Times New Roman"/>
          <w:b w:val="0"/>
          <w:bCs w:val="0"/>
          <w:color w:val="auto"/>
          <w:sz w:val="24"/>
          <w:szCs w:val="24"/>
          <w:lang w:val="es-ES" w:eastAsia="ar-SA"/>
        </w:rPr>
        <w:id w:val="-2027165714"/>
        <w:docPartObj>
          <w:docPartGallery w:val="Table of Contents"/>
          <w:docPartUnique/>
        </w:docPartObj>
      </w:sdtPr>
      <w:sdtEndPr/>
      <w:sdtContent>
        <w:p w14:paraId="393077FD" w14:textId="03BA3FE0" w:rsidR="00562564" w:rsidRDefault="00562564">
          <w:pPr>
            <w:pStyle w:val="TtulodeTDC"/>
          </w:pPr>
        </w:p>
        <w:p w14:paraId="0BD61FE9" w14:textId="77777777" w:rsidR="00562564" w:rsidRPr="00562564" w:rsidRDefault="00562564">
          <w:pPr>
            <w:pStyle w:val="TDC1"/>
            <w:rPr>
              <w:rFonts w:eastAsiaTheme="minorEastAsia"/>
              <w:noProof/>
              <w:color w:val="auto"/>
              <w:sz w:val="20"/>
              <w:szCs w:val="20"/>
              <w:lang w:eastAsia="es-CR"/>
            </w:rPr>
          </w:pPr>
          <w:r w:rsidRPr="00562564">
            <w:rPr>
              <w:b/>
              <w:bCs/>
              <w:color w:val="auto"/>
              <w:lang w:val="es-ES"/>
            </w:rPr>
            <w:fldChar w:fldCharType="begin"/>
          </w:r>
          <w:r w:rsidRPr="00562564">
            <w:rPr>
              <w:b/>
              <w:bCs/>
              <w:color w:val="auto"/>
              <w:lang w:val="es-ES"/>
            </w:rPr>
            <w:instrText xml:space="preserve"> TOC \o "1-3" \h \z \u </w:instrText>
          </w:r>
          <w:r w:rsidRPr="00562564">
            <w:rPr>
              <w:b/>
              <w:bCs/>
              <w:color w:val="auto"/>
              <w:lang w:val="es-ES"/>
            </w:rPr>
            <w:fldChar w:fldCharType="separate"/>
          </w:r>
          <w:hyperlink w:anchor="_Toc3552492" w:history="1">
            <w:r w:rsidRPr="00562564">
              <w:rPr>
                <w:rStyle w:val="Hipervnculo"/>
                <w:b/>
                <w:noProof/>
                <w:color w:val="auto"/>
                <w:sz w:val="20"/>
                <w:szCs w:val="20"/>
              </w:rPr>
              <w:t>RESUMEN EJECUTIVO</w:t>
            </w:r>
            <w:r w:rsidRPr="00562564">
              <w:rPr>
                <w:noProof/>
                <w:webHidden/>
                <w:color w:val="auto"/>
                <w:sz w:val="20"/>
                <w:szCs w:val="20"/>
              </w:rPr>
              <w:tab/>
            </w:r>
            <w:r w:rsidRPr="00562564">
              <w:rPr>
                <w:noProof/>
                <w:webHidden/>
                <w:color w:val="auto"/>
                <w:sz w:val="20"/>
                <w:szCs w:val="20"/>
              </w:rPr>
              <w:fldChar w:fldCharType="begin"/>
            </w:r>
            <w:r w:rsidRPr="00562564">
              <w:rPr>
                <w:noProof/>
                <w:webHidden/>
                <w:color w:val="auto"/>
                <w:sz w:val="20"/>
                <w:szCs w:val="20"/>
              </w:rPr>
              <w:instrText xml:space="preserve"> PAGEREF _Toc3552492 \h </w:instrText>
            </w:r>
            <w:r w:rsidRPr="00562564">
              <w:rPr>
                <w:noProof/>
                <w:webHidden/>
                <w:color w:val="auto"/>
                <w:sz w:val="20"/>
                <w:szCs w:val="20"/>
              </w:rPr>
            </w:r>
            <w:r w:rsidRPr="00562564">
              <w:rPr>
                <w:noProof/>
                <w:webHidden/>
                <w:color w:val="auto"/>
                <w:sz w:val="20"/>
                <w:szCs w:val="20"/>
              </w:rPr>
              <w:fldChar w:fldCharType="separate"/>
            </w:r>
            <w:r>
              <w:rPr>
                <w:noProof/>
                <w:webHidden/>
                <w:color w:val="auto"/>
                <w:sz w:val="20"/>
                <w:szCs w:val="20"/>
              </w:rPr>
              <w:t>2</w:t>
            </w:r>
            <w:r w:rsidRPr="00562564">
              <w:rPr>
                <w:noProof/>
                <w:webHidden/>
                <w:color w:val="auto"/>
                <w:sz w:val="20"/>
                <w:szCs w:val="20"/>
              </w:rPr>
              <w:fldChar w:fldCharType="end"/>
            </w:r>
          </w:hyperlink>
        </w:p>
        <w:p w14:paraId="3092D1C3" w14:textId="77777777" w:rsidR="00562564" w:rsidRPr="00562564" w:rsidRDefault="00B02893">
          <w:pPr>
            <w:pStyle w:val="TDC1"/>
            <w:rPr>
              <w:rFonts w:eastAsiaTheme="minorEastAsia"/>
              <w:noProof/>
              <w:color w:val="auto"/>
              <w:sz w:val="20"/>
              <w:szCs w:val="20"/>
              <w:lang w:eastAsia="es-CR"/>
            </w:rPr>
          </w:pPr>
          <w:hyperlink w:anchor="_Toc3552493" w:history="1">
            <w:r w:rsidR="00562564" w:rsidRPr="00562564">
              <w:rPr>
                <w:rStyle w:val="Hipervnculo"/>
                <w:b/>
                <w:noProof/>
                <w:color w:val="auto"/>
                <w:sz w:val="20"/>
                <w:szCs w:val="20"/>
              </w:rPr>
              <w:t>1. INTRODUCCIÓN</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_Toc3552493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4</w:t>
            </w:r>
            <w:r w:rsidR="00562564" w:rsidRPr="00562564">
              <w:rPr>
                <w:noProof/>
                <w:webHidden/>
                <w:color w:val="auto"/>
                <w:sz w:val="20"/>
                <w:szCs w:val="20"/>
              </w:rPr>
              <w:fldChar w:fldCharType="end"/>
            </w:r>
          </w:hyperlink>
        </w:p>
        <w:p w14:paraId="0B85EE73" w14:textId="77777777" w:rsidR="00562564" w:rsidRPr="00562564" w:rsidRDefault="00B02893">
          <w:pPr>
            <w:pStyle w:val="TDC2"/>
            <w:tabs>
              <w:tab w:val="left" w:pos="880"/>
              <w:tab w:val="right" w:leader="dot" w:pos="8828"/>
            </w:tabs>
            <w:rPr>
              <w:rFonts w:eastAsiaTheme="minorEastAsia"/>
              <w:smallCaps w:val="0"/>
              <w:noProof/>
              <w:lang w:val="es-CR" w:eastAsia="es-CR"/>
            </w:rPr>
          </w:pPr>
          <w:hyperlink w:anchor="_Toc3552494" w:history="1">
            <w:r w:rsidR="00562564" w:rsidRPr="00562564">
              <w:rPr>
                <w:rStyle w:val="Hipervnculo"/>
                <w:noProof/>
                <w:color w:val="auto"/>
              </w:rPr>
              <w:t>1.1.</w:t>
            </w:r>
            <w:r w:rsidR="00562564" w:rsidRPr="00562564">
              <w:rPr>
                <w:rFonts w:eastAsiaTheme="minorEastAsia"/>
                <w:smallCaps w:val="0"/>
                <w:noProof/>
                <w:lang w:val="es-CR" w:eastAsia="es-CR"/>
              </w:rPr>
              <w:tab/>
            </w:r>
            <w:r w:rsidR="00562564" w:rsidRPr="00562564">
              <w:rPr>
                <w:rStyle w:val="Hipervnculo"/>
                <w:noProof/>
                <w:color w:val="auto"/>
              </w:rPr>
              <w:t>Objetivo General</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_Toc3552494 \h </w:instrText>
            </w:r>
            <w:r w:rsidR="00562564" w:rsidRPr="00562564">
              <w:rPr>
                <w:noProof/>
                <w:webHidden/>
              </w:rPr>
            </w:r>
            <w:r w:rsidR="00562564" w:rsidRPr="00562564">
              <w:rPr>
                <w:noProof/>
                <w:webHidden/>
              </w:rPr>
              <w:fldChar w:fldCharType="separate"/>
            </w:r>
            <w:r w:rsidR="00562564">
              <w:rPr>
                <w:noProof/>
                <w:webHidden/>
              </w:rPr>
              <w:t>4</w:t>
            </w:r>
            <w:r w:rsidR="00562564" w:rsidRPr="00562564">
              <w:rPr>
                <w:noProof/>
                <w:webHidden/>
              </w:rPr>
              <w:fldChar w:fldCharType="end"/>
            </w:r>
          </w:hyperlink>
        </w:p>
        <w:p w14:paraId="2C1965A1" w14:textId="5E491CCD" w:rsidR="00562564" w:rsidRPr="00562564" w:rsidRDefault="00B02893">
          <w:pPr>
            <w:pStyle w:val="TDC2"/>
            <w:tabs>
              <w:tab w:val="right" w:leader="dot" w:pos="8828"/>
            </w:tabs>
            <w:rPr>
              <w:rFonts w:eastAsiaTheme="minorEastAsia"/>
              <w:smallCaps w:val="0"/>
              <w:noProof/>
              <w:lang w:val="es-CR" w:eastAsia="es-CR"/>
            </w:rPr>
          </w:pPr>
          <w:hyperlink w:anchor="_Toc3552495" w:history="1">
            <w:r w:rsidR="00562564" w:rsidRPr="00562564">
              <w:rPr>
                <w:rStyle w:val="Hipervnculo"/>
                <w:noProof/>
                <w:color w:val="auto"/>
              </w:rPr>
              <w:t>1.2           Alcance</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_Toc3552495 \h </w:instrText>
            </w:r>
            <w:r w:rsidR="00562564" w:rsidRPr="00562564">
              <w:rPr>
                <w:noProof/>
                <w:webHidden/>
              </w:rPr>
            </w:r>
            <w:r w:rsidR="00562564" w:rsidRPr="00562564">
              <w:rPr>
                <w:noProof/>
                <w:webHidden/>
              </w:rPr>
              <w:fldChar w:fldCharType="separate"/>
            </w:r>
            <w:r w:rsidR="00562564">
              <w:rPr>
                <w:noProof/>
                <w:webHidden/>
              </w:rPr>
              <w:t>4</w:t>
            </w:r>
            <w:r w:rsidR="00562564" w:rsidRPr="00562564">
              <w:rPr>
                <w:noProof/>
                <w:webHidden/>
              </w:rPr>
              <w:fldChar w:fldCharType="end"/>
            </w:r>
          </w:hyperlink>
        </w:p>
        <w:p w14:paraId="655C9FA3" w14:textId="77777777" w:rsidR="00562564" w:rsidRPr="00562564" w:rsidRDefault="00B02893">
          <w:pPr>
            <w:pStyle w:val="TDC2"/>
            <w:tabs>
              <w:tab w:val="left" w:pos="880"/>
              <w:tab w:val="right" w:leader="dot" w:pos="8828"/>
            </w:tabs>
            <w:rPr>
              <w:rFonts w:eastAsiaTheme="minorEastAsia"/>
              <w:smallCaps w:val="0"/>
              <w:noProof/>
              <w:lang w:val="es-CR" w:eastAsia="es-CR"/>
            </w:rPr>
          </w:pPr>
          <w:hyperlink w:anchor="_Toc3552496" w:history="1">
            <w:r w:rsidR="00562564" w:rsidRPr="00562564">
              <w:rPr>
                <w:rStyle w:val="Hipervnculo"/>
                <w:noProof/>
                <w:color w:val="auto"/>
              </w:rPr>
              <w:t>1.3.</w:t>
            </w:r>
            <w:r w:rsidR="00562564" w:rsidRPr="00562564">
              <w:rPr>
                <w:rFonts w:eastAsiaTheme="minorEastAsia"/>
                <w:smallCaps w:val="0"/>
                <w:noProof/>
                <w:lang w:val="es-CR" w:eastAsia="es-CR"/>
              </w:rPr>
              <w:tab/>
            </w:r>
            <w:r w:rsidR="00562564" w:rsidRPr="00562564">
              <w:rPr>
                <w:rStyle w:val="Hipervnculo"/>
                <w:noProof/>
                <w:color w:val="auto"/>
              </w:rPr>
              <w:t>Antecedentes</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_Toc3552496 \h </w:instrText>
            </w:r>
            <w:r w:rsidR="00562564" w:rsidRPr="00562564">
              <w:rPr>
                <w:noProof/>
                <w:webHidden/>
              </w:rPr>
            </w:r>
            <w:r w:rsidR="00562564" w:rsidRPr="00562564">
              <w:rPr>
                <w:noProof/>
                <w:webHidden/>
              </w:rPr>
              <w:fldChar w:fldCharType="separate"/>
            </w:r>
            <w:r w:rsidR="00562564">
              <w:rPr>
                <w:noProof/>
                <w:webHidden/>
              </w:rPr>
              <w:t>4</w:t>
            </w:r>
            <w:r w:rsidR="00562564" w:rsidRPr="00562564">
              <w:rPr>
                <w:noProof/>
                <w:webHidden/>
              </w:rPr>
              <w:fldChar w:fldCharType="end"/>
            </w:r>
          </w:hyperlink>
        </w:p>
        <w:p w14:paraId="2D651B5D" w14:textId="77777777" w:rsidR="00562564" w:rsidRPr="00562564" w:rsidRDefault="00B02893">
          <w:pPr>
            <w:pStyle w:val="TDC2"/>
            <w:tabs>
              <w:tab w:val="right" w:leader="dot" w:pos="8828"/>
            </w:tabs>
            <w:rPr>
              <w:rFonts w:eastAsiaTheme="minorEastAsia"/>
              <w:smallCaps w:val="0"/>
              <w:noProof/>
              <w:lang w:val="es-CR" w:eastAsia="es-CR"/>
            </w:rPr>
          </w:pPr>
          <w:hyperlink w:anchor="_Toc3552497" w:history="1">
            <w:r w:rsidR="00562564" w:rsidRPr="00562564">
              <w:rPr>
                <w:rStyle w:val="Hipervnculo"/>
                <w:noProof/>
                <w:color w:val="auto"/>
              </w:rPr>
              <w:t>1.4 Limitaciones</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_Toc3552497 \h </w:instrText>
            </w:r>
            <w:r w:rsidR="00562564" w:rsidRPr="00562564">
              <w:rPr>
                <w:noProof/>
                <w:webHidden/>
              </w:rPr>
            </w:r>
            <w:r w:rsidR="00562564" w:rsidRPr="00562564">
              <w:rPr>
                <w:noProof/>
                <w:webHidden/>
              </w:rPr>
              <w:fldChar w:fldCharType="separate"/>
            </w:r>
            <w:r w:rsidR="00562564">
              <w:rPr>
                <w:noProof/>
                <w:webHidden/>
              </w:rPr>
              <w:t>4</w:t>
            </w:r>
            <w:r w:rsidR="00562564" w:rsidRPr="00562564">
              <w:rPr>
                <w:noProof/>
                <w:webHidden/>
              </w:rPr>
              <w:fldChar w:fldCharType="end"/>
            </w:r>
          </w:hyperlink>
        </w:p>
        <w:p w14:paraId="1AD78EE3" w14:textId="77777777" w:rsidR="00562564" w:rsidRPr="00562564" w:rsidRDefault="00B02893">
          <w:pPr>
            <w:pStyle w:val="TDC1"/>
            <w:rPr>
              <w:rFonts w:eastAsiaTheme="minorEastAsia"/>
              <w:noProof/>
              <w:color w:val="auto"/>
              <w:sz w:val="20"/>
              <w:szCs w:val="20"/>
              <w:lang w:eastAsia="es-CR"/>
            </w:rPr>
          </w:pPr>
          <w:hyperlink w:anchor="_Toc3552498" w:history="1">
            <w:r w:rsidR="00562564" w:rsidRPr="00562564">
              <w:rPr>
                <w:rStyle w:val="Hipervnculo"/>
                <w:b/>
                <w:noProof/>
                <w:color w:val="auto"/>
                <w:sz w:val="20"/>
                <w:szCs w:val="20"/>
              </w:rPr>
              <w:t>2. HALLAZGOS</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_Toc3552498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4</w:t>
            </w:r>
            <w:r w:rsidR="00562564" w:rsidRPr="00562564">
              <w:rPr>
                <w:noProof/>
                <w:webHidden/>
                <w:color w:val="auto"/>
                <w:sz w:val="20"/>
                <w:szCs w:val="20"/>
              </w:rPr>
              <w:fldChar w:fldCharType="end"/>
            </w:r>
          </w:hyperlink>
        </w:p>
        <w:p w14:paraId="5A91549C" w14:textId="35E2CE33" w:rsidR="00562564" w:rsidRPr="00562564" w:rsidRDefault="00B02893">
          <w:pPr>
            <w:pStyle w:val="TDC2"/>
            <w:tabs>
              <w:tab w:val="right" w:leader="dot" w:pos="8828"/>
            </w:tabs>
            <w:rPr>
              <w:rFonts w:eastAsiaTheme="minorEastAsia"/>
              <w:smallCaps w:val="0"/>
              <w:noProof/>
              <w:lang w:val="es-CR" w:eastAsia="es-CR"/>
            </w:rPr>
          </w:pPr>
          <w:hyperlink w:anchor="_Toc3552499" w:history="1">
            <w:r w:rsidR="00562564" w:rsidRPr="00562564">
              <w:rPr>
                <w:rStyle w:val="Hipervnculo"/>
                <w:noProof/>
                <w:color w:val="auto"/>
              </w:rPr>
              <w:t>2.1 Ausencia de procedimiento para incorporar recursos reintegrados a la Caja Única del    Estado al presupuesto ordinario del MEP</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_Toc3552499 \h </w:instrText>
            </w:r>
            <w:r w:rsidR="00562564" w:rsidRPr="00562564">
              <w:rPr>
                <w:noProof/>
                <w:webHidden/>
              </w:rPr>
            </w:r>
            <w:r w:rsidR="00562564" w:rsidRPr="00562564">
              <w:rPr>
                <w:noProof/>
                <w:webHidden/>
              </w:rPr>
              <w:fldChar w:fldCharType="separate"/>
            </w:r>
            <w:r w:rsidR="00562564">
              <w:rPr>
                <w:noProof/>
                <w:webHidden/>
              </w:rPr>
              <w:t>4</w:t>
            </w:r>
            <w:r w:rsidR="00562564" w:rsidRPr="00562564">
              <w:rPr>
                <w:noProof/>
                <w:webHidden/>
              </w:rPr>
              <w:fldChar w:fldCharType="end"/>
            </w:r>
          </w:hyperlink>
        </w:p>
        <w:p w14:paraId="1467BCB7" w14:textId="77777777" w:rsidR="00562564" w:rsidRPr="00562564" w:rsidRDefault="00B02893">
          <w:pPr>
            <w:pStyle w:val="TDC2"/>
            <w:tabs>
              <w:tab w:val="right" w:leader="dot" w:pos="8828"/>
            </w:tabs>
            <w:rPr>
              <w:rFonts w:eastAsiaTheme="minorEastAsia"/>
              <w:smallCaps w:val="0"/>
              <w:noProof/>
              <w:lang w:val="es-CR" w:eastAsia="es-CR"/>
            </w:rPr>
          </w:pPr>
          <w:hyperlink w:anchor="_Toc3552500" w:history="1">
            <w:r w:rsidR="00562564" w:rsidRPr="00562564">
              <w:rPr>
                <w:rStyle w:val="Hipervnculo"/>
                <w:noProof/>
                <w:color w:val="auto"/>
              </w:rPr>
              <w:t>2.2 Deficiente coordinación entre instancias internas</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_Toc3552500 \h </w:instrText>
            </w:r>
            <w:r w:rsidR="00562564" w:rsidRPr="00562564">
              <w:rPr>
                <w:noProof/>
                <w:webHidden/>
              </w:rPr>
            </w:r>
            <w:r w:rsidR="00562564" w:rsidRPr="00562564">
              <w:rPr>
                <w:noProof/>
                <w:webHidden/>
              </w:rPr>
              <w:fldChar w:fldCharType="separate"/>
            </w:r>
            <w:r w:rsidR="00562564">
              <w:rPr>
                <w:noProof/>
                <w:webHidden/>
              </w:rPr>
              <w:t>6</w:t>
            </w:r>
            <w:r w:rsidR="00562564" w:rsidRPr="00562564">
              <w:rPr>
                <w:noProof/>
                <w:webHidden/>
              </w:rPr>
              <w:fldChar w:fldCharType="end"/>
            </w:r>
          </w:hyperlink>
        </w:p>
        <w:p w14:paraId="6ABF7C5D" w14:textId="77777777" w:rsidR="00562564" w:rsidRPr="00562564" w:rsidRDefault="00B02893">
          <w:pPr>
            <w:pStyle w:val="TDC2"/>
            <w:tabs>
              <w:tab w:val="right" w:leader="dot" w:pos="8828"/>
            </w:tabs>
            <w:rPr>
              <w:rFonts w:eastAsiaTheme="minorEastAsia"/>
              <w:smallCaps w:val="0"/>
              <w:noProof/>
              <w:lang w:val="es-CR" w:eastAsia="es-CR"/>
            </w:rPr>
          </w:pPr>
          <w:hyperlink w:anchor="_Toc3552501" w:history="1">
            <w:r w:rsidR="00562564" w:rsidRPr="00562564">
              <w:rPr>
                <w:rStyle w:val="Hipervnculo"/>
                <w:noProof/>
                <w:color w:val="auto"/>
              </w:rPr>
              <w:t>2.3 Reintegro de recursos a la Caja Única del Estado</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_Toc3552501 \h </w:instrText>
            </w:r>
            <w:r w:rsidR="00562564" w:rsidRPr="00562564">
              <w:rPr>
                <w:noProof/>
                <w:webHidden/>
              </w:rPr>
            </w:r>
            <w:r w:rsidR="00562564" w:rsidRPr="00562564">
              <w:rPr>
                <w:noProof/>
                <w:webHidden/>
              </w:rPr>
              <w:fldChar w:fldCharType="separate"/>
            </w:r>
            <w:r w:rsidR="00562564">
              <w:rPr>
                <w:noProof/>
                <w:webHidden/>
              </w:rPr>
              <w:t>10</w:t>
            </w:r>
            <w:r w:rsidR="00562564" w:rsidRPr="00562564">
              <w:rPr>
                <w:noProof/>
                <w:webHidden/>
              </w:rPr>
              <w:fldChar w:fldCharType="end"/>
            </w:r>
          </w:hyperlink>
        </w:p>
        <w:p w14:paraId="4F12EB5A" w14:textId="77777777" w:rsidR="00562564" w:rsidRPr="00562564" w:rsidRDefault="00B02893">
          <w:pPr>
            <w:pStyle w:val="TDC2"/>
            <w:tabs>
              <w:tab w:val="right" w:leader="dot" w:pos="8828"/>
            </w:tabs>
            <w:rPr>
              <w:rFonts w:eastAsiaTheme="minorEastAsia"/>
              <w:smallCaps w:val="0"/>
              <w:noProof/>
              <w:lang w:val="es-CR" w:eastAsia="es-CR"/>
            </w:rPr>
          </w:pPr>
          <w:hyperlink w:anchor="_Toc3552502" w:history="1">
            <w:r w:rsidR="00562564" w:rsidRPr="00562564">
              <w:rPr>
                <w:rStyle w:val="Hipervnculo"/>
                <w:noProof/>
                <w:color w:val="auto"/>
              </w:rPr>
              <w:t>2.4 Gestión desarticulada entre la Dirección de Programas de Equidad y las Direcciones Regionales de Educación</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_Toc3552502 \h </w:instrText>
            </w:r>
            <w:r w:rsidR="00562564" w:rsidRPr="00562564">
              <w:rPr>
                <w:noProof/>
                <w:webHidden/>
              </w:rPr>
            </w:r>
            <w:r w:rsidR="00562564" w:rsidRPr="00562564">
              <w:rPr>
                <w:noProof/>
                <w:webHidden/>
              </w:rPr>
              <w:fldChar w:fldCharType="separate"/>
            </w:r>
            <w:r w:rsidR="00562564">
              <w:rPr>
                <w:noProof/>
                <w:webHidden/>
              </w:rPr>
              <w:t>11</w:t>
            </w:r>
            <w:r w:rsidR="00562564" w:rsidRPr="00562564">
              <w:rPr>
                <w:noProof/>
                <w:webHidden/>
              </w:rPr>
              <w:fldChar w:fldCharType="end"/>
            </w:r>
          </w:hyperlink>
        </w:p>
        <w:p w14:paraId="23DBC74B" w14:textId="77777777" w:rsidR="00562564" w:rsidRPr="00562564" w:rsidRDefault="00B02893">
          <w:pPr>
            <w:pStyle w:val="TDC2"/>
            <w:tabs>
              <w:tab w:val="right" w:leader="dot" w:pos="8828"/>
            </w:tabs>
            <w:rPr>
              <w:rFonts w:eastAsiaTheme="minorEastAsia"/>
              <w:smallCaps w:val="0"/>
              <w:noProof/>
              <w:lang w:val="es-CR" w:eastAsia="es-CR"/>
            </w:rPr>
          </w:pPr>
          <w:hyperlink w:anchor="_Toc3552503" w:history="1">
            <w:r w:rsidR="00562564" w:rsidRPr="00562564">
              <w:rPr>
                <w:rStyle w:val="Hipervnculo"/>
                <w:noProof/>
                <w:color w:val="auto"/>
              </w:rPr>
              <w:t>2.5 Valoración Control Interno</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_Toc3552503 \h </w:instrText>
            </w:r>
            <w:r w:rsidR="00562564" w:rsidRPr="00562564">
              <w:rPr>
                <w:noProof/>
                <w:webHidden/>
              </w:rPr>
            </w:r>
            <w:r w:rsidR="00562564" w:rsidRPr="00562564">
              <w:rPr>
                <w:noProof/>
                <w:webHidden/>
              </w:rPr>
              <w:fldChar w:fldCharType="separate"/>
            </w:r>
            <w:r w:rsidR="00562564">
              <w:rPr>
                <w:noProof/>
                <w:webHidden/>
              </w:rPr>
              <w:t>11</w:t>
            </w:r>
            <w:r w:rsidR="00562564" w:rsidRPr="00562564">
              <w:rPr>
                <w:noProof/>
                <w:webHidden/>
              </w:rPr>
              <w:fldChar w:fldCharType="end"/>
            </w:r>
          </w:hyperlink>
        </w:p>
        <w:p w14:paraId="41795BCB" w14:textId="77777777" w:rsidR="00562564" w:rsidRPr="00562564" w:rsidRDefault="00B02893">
          <w:pPr>
            <w:pStyle w:val="TDC3"/>
            <w:tabs>
              <w:tab w:val="right" w:leader="dot" w:pos="8828"/>
            </w:tabs>
            <w:rPr>
              <w:rFonts w:ascii="Times New Roman" w:eastAsiaTheme="minorEastAsia" w:hAnsi="Times New Roman"/>
              <w:noProof/>
              <w:sz w:val="20"/>
              <w:szCs w:val="20"/>
              <w:lang w:eastAsia="es-CR"/>
            </w:rPr>
          </w:pPr>
          <w:hyperlink w:anchor="_Toc3552504" w:history="1">
            <w:r w:rsidR="00562564" w:rsidRPr="00562564">
              <w:rPr>
                <w:rStyle w:val="Hipervnculo"/>
                <w:rFonts w:ascii="Times New Roman" w:eastAsia="Times New Roman" w:hAnsi="Times New Roman"/>
                <w:noProof/>
                <w:color w:val="auto"/>
                <w:sz w:val="20"/>
                <w:szCs w:val="20"/>
              </w:rPr>
              <w:t>2.5.1 Ambiente de Control</w:t>
            </w:r>
            <w:r w:rsidR="00562564" w:rsidRPr="00562564">
              <w:rPr>
                <w:rFonts w:ascii="Times New Roman" w:hAnsi="Times New Roman"/>
                <w:noProof/>
                <w:webHidden/>
                <w:sz w:val="20"/>
                <w:szCs w:val="20"/>
              </w:rPr>
              <w:tab/>
            </w:r>
            <w:r w:rsidR="00562564" w:rsidRPr="00562564">
              <w:rPr>
                <w:rFonts w:ascii="Times New Roman" w:hAnsi="Times New Roman"/>
                <w:noProof/>
                <w:webHidden/>
                <w:sz w:val="20"/>
                <w:szCs w:val="20"/>
              </w:rPr>
              <w:fldChar w:fldCharType="begin"/>
            </w:r>
            <w:r w:rsidR="00562564" w:rsidRPr="00562564">
              <w:rPr>
                <w:rFonts w:ascii="Times New Roman" w:hAnsi="Times New Roman"/>
                <w:noProof/>
                <w:webHidden/>
                <w:sz w:val="20"/>
                <w:szCs w:val="20"/>
              </w:rPr>
              <w:instrText xml:space="preserve"> PAGEREF _Toc3552504 \h </w:instrText>
            </w:r>
            <w:r w:rsidR="00562564" w:rsidRPr="00562564">
              <w:rPr>
                <w:rFonts w:ascii="Times New Roman" w:hAnsi="Times New Roman"/>
                <w:noProof/>
                <w:webHidden/>
                <w:sz w:val="20"/>
                <w:szCs w:val="20"/>
              </w:rPr>
            </w:r>
            <w:r w:rsidR="00562564" w:rsidRPr="00562564">
              <w:rPr>
                <w:rFonts w:ascii="Times New Roman" w:hAnsi="Times New Roman"/>
                <w:noProof/>
                <w:webHidden/>
                <w:sz w:val="20"/>
                <w:szCs w:val="20"/>
              </w:rPr>
              <w:fldChar w:fldCharType="separate"/>
            </w:r>
            <w:r w:rsidR="00562564">
              <w:rPr>
                <w:rFonts w:ascii="Times New Roman" w:hAnsi="Times New Roman"/>
                <w:noProof/>
                <w:webHidden/>
                <w:sz w:val="20"/>
                <w:szCs w:val="20"/>
              </w:rPr>
              <w:t>12</w:t>
            </w:r>
            <w:r w:rsidR="00562564" w:rsidRPr="00562564">
              <w:rPr>
                <w:rFonts w:ascii="Times New Roman" w:hAnsi="Times New Roman"/>
                <w:noProof/>
                <w:webHidden/>
                <w:sz w:val="20"/>
                <w:szCs w:val="20"/>
              </w:rPr>
              <w:fldChar w:fldCharType="end"/>
            </w:r>
          </w:hyperlink>
        </w:p>
        <w:p w14:paraId="67C34286" w14:textId="77777777" w:rsidR="00562564" w:rsidRPr="00562564" w:rsidRDefault="00B02893">
          <w:pPr>
            <w:pStyle w:val="TDC3"/>
            <w:tabs>
              <w:tab w:val="right" w:leader="dot" w:pos="8828"/>
            </w:tabs>
            <w:rPr>
              <w:rFonts w:ascii="Times New Roman" w:eastAsiaTheme="minorEastAsia" w:hAnsi="Times New Roman"/>
              <w:noProof/>
              <w:sz w:val="20"/>
              <w:szCs w:val="20"/>
              <w:lang w:eastAsia="es-CR"/>
            </w:rPr>
          </w:pPr>
          <w:hyperlink w:anchor="_Toc3552505" w:history="1">
            <w:r w:rsidR="00562564" w:rsidRPr="00562564">
              <w:rPr>
                <w:rStyle w:val="Hipervnculo"/>
                <w:rFonts w:ascii="Times New Roman" w:hAnsi="Times New Roman"/>
                <w:noProof/>
                <w:color w:val="auto"/>
                <w:sz w:val="20"/>
                <w:szCs w:val="20"/>
              </w:rPr>
              <w:t>2.5.2 Actividades de Control y Seguimiento del Sistema de Control Interno</w:t>
            </w:r>
            <w:r w:rsidR="00562564" w:rsidRPr="00562564">
              <w:rPr>
                <w:rFonts w:ascii="Times New Roman" w:hAnsi="Times New Roman"/>
                <w:noProof/>
                <w:webHidden/>
                <w:sz w:val="20"/>
                <w:szCs w:val="20"/>
              </w:rPr>
              <w:tab/>
            </w:r>
            <w:r w:rsidR="00562564" w:rsidRPr="00562564">
              <w:rPr>
                <w:rFonts w:ascii="Times New Roman" w:hAnsi="Times New Roman"/>
                <w:noProof/>
                <w:webHidden/>
                <w:sz w:val="20"/>
                <w:szCs w:val="20"/>
              </w:rPr>
              <w:fldChar w:fldCharType="begin"/>
            </w:r>
            <w:r w:rsidR="00562564" w:rsidRPr="00562564">
              <w:rPr>
                <w:rFonts w:ascii="Times New Roman" w:hAnsi="Times New Roman"/>
                <w:noProof/>
                <w:webHidden/>
                <w:sz w:val="20"/>
                <w:szCs w:val="20"/>
              </w:rPr>
              <w:instrText xml:space="preserve"> PAGEREF _Toc3552505 \h </w:instrText>
            </w:r>
            <w:r w:rsidR="00562564" w:rsidRPr="00562564">
              <w:rPr>
                <w:rFonts w:ascii="Times New Roman" w:hAnsi="Times New Roman"/>
                <w:noProof/>
                <w:webHidden/>
                <w:sz w:val="20"/>
                <w:szCs w:val="20"/>
              </w:rPr>
            </w:r>
            <w:r w:rsidR="00562564" w:rsidRPr="00562564">
              <w:rPr>
                <w:rFonts w:ascii="Times New Roman" w:hAnsi="Times New Roman"/>
                <w:noProof/>
                <w:webHidden/>
                <w:sz w:val="20"/>
                <w:szCs w:val="20"/>
              </w:rPr>
              <w:fldChar w:fldCharType="separate"/>
            </w:r>
            <w:r w:rsidR="00562564">
              <w:rPr>
                <w:rFonts w:ascii="Times New Roman" w:hAnsi="Times New Roman"/>
                <w:noProof/>
                <w:webHidden/>
                <w:sz w:val="20"/>
                <w:szCs w:val="20"/>
              </w:rPr>
              <w:t>13</w:t>
            </w:r>
            <w:r w:rsidR="00562564" w:rsidRPr="00562564">
              <w:rPr>
                <w:rFonts w:ascii="Times New Roman" w:hAnsi="Times New Roman"/>
                <w:noProof/>
                <w:webHidden/>
                <w:sz w:val="20"/>
                <w:szCs w:val="20"/>
              </w:rPr>
              <w:fldChar w:fldCharType="end"/>
            </w:r>
          </w:hyperlink>
        </w:p>
        <w:p w14:paraId="48DC0F55" w14:textId="77777777" w:rsidR="00562564" w:rsidRPr="00562564" w:rsidRDefault="00B02893">
          <w:pPr>
            <w:pStyle w:val="TDC2"/>
            <w:tabs>
              <w:tab w:val="right" w:leader="dot" w:pos="8828"/>
            </w:tabs>
            <w:rPr>
              <w:rFonts w:eastAsiaTheme="minorEastAsia"/>
              <w:smallCaps w:val="0"/>
              <w:noProof/>
              <w:lang w:val="es-CR" w:eastAsia="es-CR"/>
            </w:rPr>
          </w:pPr>
          <w:hyperlink w:anchor="_Toc3552506" w:history="1">
            <w:r w:rsidR="00562564" w:rsidRPr="00562564">
              <w:rPr>
                <w:rStyle w:val="Hipervnculo"/>
                <w:noProof/>
                <w:color w:val="auto"/>
              </w:rPr>
              <w:t>2.6 Otros aspectos evaluados</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_Toc3552506 \h </w:instrText>
            </w:r>
            <w:r w:rsidR="00562564" w:rsidRPr="00562564">
              <w:rPr>
                <w:noProof/>
                <w:webHidden/>
              </w:rPr>
            </w:r>
            <w:r w:rsidR="00562564" w:rsidRPr="00562564">
              <w:rPr>
                <w:noProof/>
                <w:webHidden/>
              </w:rPr>
              <w:fldChar w:fldCharType="separate"/>
            </w:r>
            <w:r w:rsidR="00562564">
              <w:rPr>
                <w:noProof/>
                <w:webHidden/>
              </w:rPr>
              <w:t>13</w:t>
            </w:r>
            <w:r w:rsidR="00562564" w:rsidRPr="00562564">
              <w:rPr>
                <w:noProof/>
                <w:webHidden/>
              </w:rPr>
              <w:fldChar w:fldCharType="end"/>
            </w:r>
          </w:hyperlink>
        </w:p>
        <w:p w14:paraId="3D4504FF" w14:textId="77777777" w:rsidR="00562564" w:rsidRPr="00562564" w:rsidRDefault="00B02893">
          <w:pPr>
            <w:pStyle w:val="TDC2"/>
            <w:tabs>
              <w:tab w:val="right" w:leader="dot" w:pos="8828"/>
            </w:tabs>
            <w:rPr>
              <w:rFonts w:eastAsiaTheme="minorEastAsia"/>
              <w:smallCaps w:val="0"/>
              <w:noProof/>
              <w:lang w:val="es-CR" w:eastAsia="es-CR"/>
            </w:rPr>
          </w:pPr>
          <w:hyperlink w:anchor="_Toc3552507" w:history="1">
            <w:r w:rsidR="00562564" w:rsidRPr="00562564">
              <w:rPr>
                <w:rStyle w:val="Hipervnculo"/>
                <w:noProof/>
                <w:color w:val="auto"/>
              </w:rPr>
              <w:t>2.7 Revisión de la contratación directa 2016 CD-000101-0007300001 MEP-UCR</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_Toc3552507 \h </w:instrText>
            </w:r>
            <w:r w:rsidR="00562564" w:rsidRPr="00562564">
              <w:rPr>
                <w:noProof/>
                <w:webHidden/>
              </w:rPr>
            </w:r>
            <w:r w:rsidR="00562564" w:rsidRPr="00562564">
              <w:rPr>
                <w:noProof/>
                <w:webHidden/>
              </w:rPr>
              <w:fldChar w:fldCharType="separate"/>
            </w:r>
            <w:r w:rsidR="00562564">
              <w:rPr>
                <w:noProof/>
                <w:webHidden/>
              </w:rPr>
              <w:t>15</w:t>
            </w:r>
            <w:r w:rsidR="00562564" w:rsidRPr="00562564">
              <w:rPr>
                <w:noProof/>
                <w:webHidden/>
              </w:rPr>
              <w:fldChar w:fldCharType="end"/>
            </w:r>
          </w:hyperlink>
        </w:p>
        <w:p w14:paraId="1BDD91AA" w14:textId="77777777" w:rsidR="00562564" w:rsidRPr="00562564" w:rsidRDefault="00B02893">
          <w:pPr>
            <w:pStyle w:val="TDC3"/>
            <w:tabs>
              <w:tab w:val="right" w:leader="dot" w:pos="8828"/>
            </w:tabs>
            <w:rPr>
              <w:rFonts w:ascii="Times New Roman" w:eastAsiaTheme="minorEastAsia" w:hAnsi="Times New Roman"/>
              <w:noProof/>
              <w:sz w:val="20"/>
              <w:szCs w:val="20"/>
              <w:lang w:eastAsia="es-CR"/>
            </w:rPr>
          </w:pPr>
          <w:hyperlink w:anchor="_Toc3552508" w:history="1">
            <w:r w:rsidR="00562564" w:rsidRPr="00562564">
              <w:rPr>
                <w:rStyle w:val="Hipervnculo"/>
                <w:rFonts w:ascii="Times New Roman" w:hAnsi="Times New Roman"/>
                <w:noProof/>
                <w:color w:val="auto"/>
                <w:sz w:val="20"/>
                <w:szCs w:val="20"/>
              </w:rPr>
              <w:t>2.7.1 Canales de comunicación</w:t>
            </w:r>
            <w:r w:rsidR="00562564" w:rsidRPr="00562564">
              <w:rPr>
                <w:rFonts w:ascii="Times New Roman" w:hAnsi="Times New Roman"/>
                <w:noProof/>
                <w:webHidden/>
                <w:sz w:val="20"/>
                <w:szCs w:val="20"/>
              </w:rPr>
              <w:tab/>
            </w:r>
            <w:r w:rsidR="00562564" w:rsidRPr="00562564">
              <w:rPr>
                <w:rFonts w:ascii="Times New Roman" w:hAnsi="Times New Roman"/>
                <w:noProof/>
                <w:webHidden/>
                <w:sz w:val="20"/>
                <w:szCs w:val="20"/>
              </w:rPr>
              <w:fldChar w:fldCharType="begin"/>
            </w:r>
            <w:r w:rsidR="00562564" w:rsidRPr="00562564">
              <w:rPr>
                <w:rFonts w:ascii="Times New Roman" w:hAnsi="Times New Roman"/>
                <w:noProof/>
                <w:webHidden/>
                <w:sz w:val="20"/>
                <w:szCs w:val="20"/>
              </w:rPr>
              <w:instrText xml:space="preserve"> PAGEREF _Toc3552508 \h </w:instrText>
            </w:r>
            <w:r w:rsidR="00562564" w:rsidRPr="00562564">
              <w:rPr>
                <w:rFonts w:ascii="Times New Roman" w:hAnsi="Times New Roman"/>
                <w:noProof/>
                <w:webHidden/>
                <w:sz w:val="20"/>
                <w:szCs w:val="20"/>
              </w:rPr>
            </w:r>
            <w:r w:rsidR="00562564" w:rsidRPr="00562564">
              <w:rPr>
                <w:rFonts w:ascii="Times New Roman" w:hAnsi="Times New Roman"/>
                <w:noProof/>
                <w:webHidden/>
                <w:sz w:val="20"/>
                <w:szCs w:val="20"/>
              </w:rPr>
              <w:fldChar w:fldCharType="separate"/>
            </w:r>
            <w:r w:rsidR="00562564">
              <w:rPr>
                <w:rFonts w:ascii="Times New Roman" w:hAnsi="Times New Roman"/>
                <w:noProof/>
                <w:webHidden/>
                <w:sz w:val="20"/>
                <w:szCs w:val="20"/>
              </w:rPr>
              <w:t>15</w:t>
            </w:r>
            <w:r w:rsidR="00562564" w:rsidRPr="00562564">
              <w:rPr>
                <w:rFonts w:ascii="Times New Roman" w:hAnsi="Times New Roman"/>
                <w:noProof/>
                <w:webHidden/>
                <w:sz w:val="20"/>
                <w:szCs w:val="20"/>
              </w:rPr>
              <w:fldChar w:fldCharType="end"/>
            </w:r>
          </w:hyperlink>
        </w:p>
        <w:p w14:paraId="1E29F73C" w14:textId="77777777" w:rsidR="00562564" w:rsidRPr="00562564" w:rsidRDefault="00B02893">
          <w:pPr>
            <w:pStyle w:val="TDC3"/>
            <w:tabs>
              <w:tab w:val="right" w:leader="dot" w:pos="8828"/>
            </w:tabs>
            <w:rPr>
              <w:rFonts w:ascii="Times New Roman" w:eastAsiaTheme="minorEastAsia" w:hAnsi="Times New Roman"/>
              <w:noProof/>
              <w:sz w:val="20"/>
              <w:szCs w:val="20"/>
              <w:lang w:eastAsia="es-CR"/>
            </w:rPr>
          </w:pPr>
          <w:hyperlink w:anchor="_Toc3552509" w:history="1">
            <w:r w:rsidR="00562564" w:rsidRPr="00562564">
              <w:rPr>
                <w:rStyle w:val="Hipervnculo"/>
                <w:rFonts w:ascii="Times New Roman" w:hAnsi="Times New Roman"/>
                <w:noProof/>
                <w:color w:val="auto"/>
                <w:sz w:val="20"/>
                <w:szCs w:val="20"/>
              </w:rPr>
              <w:t>2.7.2 Documentos de respaldo</w:t>
            </w:r>
            <w:r w:rsidR="00562564" w:rsidRPr="00562564">
              <w:rPr>
                <w:rFonts w:ascii="Times New Roman" w:hAnsi="Times New Roman"/>
                <w:noProof/>
                <w:webHidden/>
                <w:sz w:val="20"/>
                <w:szCs w:val="20"/>
              </w:rPr>
              <w:tab/>
            </w:r>
            <w:r w:rsidR="00562564" w:rsidRPr="00562564">
              <w:rPr>
                <w:rFonts w:ascii="Times New Roman" w:hAnsi="Times New Roman"/>
                <w:noProof/>
                <w:webHidden/>
                <w:sz w:val="20"/>
                <w:szCs w:val="20"/>
              </w:rPr>
              <w:fldChar w:fldCharType="begin"/>
            </w:r>
            <w:r w:rsidR="00562564" w:rsidRPr="00562564">
              <w:rPr>
                <w:rFonts w:ascii="Times New Roman" w:hAnsi="Times New Roman"/>
                <w:noProof/>
                <w:webHidden/>
                <w:sz w:val="20"/>
                <w:szCs w:val="20"/>
              </w:rPr>
              <w:instrText xml:space="preserve"> PAGEREF _Toc3552509 \h </w:instrText>
            </w:r>
            <w:r w:rsidR="00562564" w:rsidRPr="00562564">
              <w:rPr>
                <w:rFonts w:ascii="Times New Roman" w:hAnsi="Times New Roman"/>
                <w:noProof/>
                <w:webHidden/>
                <w:sz w:val="20"/>
                <w:szCs w:val="20"/>
              </w:rPr>
            </w:r>
            <w:r w:rsidR="00562564" w:rsidRPr="00562564">
              <w:rPr>
                <w:rFonts w:ascii="Times New Roman" w:hAnsi="Times New Roman"/>
                <w:noProof/>
                <w:webHidden/>
                <w:sz w:val="20"/>
                <w:szCs w:val="20"/>
              </w:rPr>
              <w:fldChar w:fldCharType="separate"/>
            </w:r>
            <w:r w:rsidR="00562564">
              <w:rPr>
                <w:rFonts w:ascii="Times New Roman" w:hAnsi="Times New Roman"/>
                <w:noProof/>
                <w:webHidden/>
                <w:sz w:val="20"/>
                <w:szCs w:val="20"/>
              </w:rPr>
              <w:t>16</w:t>
            </w:r>
            <w:r w:rsidR="00562564" w:rsidRPr="00562564">
              <w:rPr>
                <w:rFonts w:ascii="Times New Roman" w:hAnsi="Times New Roman"/>
                <w:noProof/>
                <w:webHidden/>
                <w:sz w:val="20"/>
                <w:szCs w:val="20"/>
              </w:rPr>
              <w:fldChar w:fldCharType="end"/>
            </w:r>
          </w:hyperlink>
        </w:p>
        <w:p w14:paraId="4AFE6F6B" w14:textId="77777777" w:rsidR="00562564" w:rsidRPr="00562564" w:rsidRDefault="00B02893">
          <w:pPr>
            <w:pStyle w:val="TDC3"/>
            <w:tabs>
              <w:tab w:val="right" w:leader="dot" w:pos="8828"/>
            </w:tabs>
            <w:rPr>
              <w:rFonts w:ascii="Times New Roman" w:eastAsiaTheme="minorEastAsia" w:hAnsi="Times New Roman"/>
              <w:noProof/>
              <w:sz w:val="20"/>
              <w:szCs w:val="20"/>
              <w:lang w:eastAsia="es-CR"/>
            </w:rPr>
          </w:pPr>
          <w:hyperlink w:anchor="_Toc3552510" w:history="1">
            <w:r w:rsidR="00562564" w:rsidRPr="00562564">
              <w:rPr>
                <w:rStyle w:val="Hipervnculo"/>
                <w:rFonts w:ascii="Times New Roman" w:hAnsi="Times New Roman"/>
                <w:noProof/>
                <w:color w:val="auto"/>
                <w:sz w:val="20"/>
                <w:szCs w:val="20"/>
              </w:rPr>
              <w:t>2.7.3 Conformación del expediente</w:t>
            </w:r>
            <w:r w:rsidR="00562564" w:rsidRPr="00562564">
              <w:rPr>
                <w:rFonts w:ascii="Times New Roman" w:hAnsi="Times New Roman"/>
                <w:noProof/>
                <w:webHidden/>
                <w:sz w:val="20"/>
                <w:szCs w:val="20"/>
              </w:rPr>
              <w:tab/>
            </w:r>
            <w:r w:rsidR="00562564" w:rsidRPr="00562564">
              <w:rPr>
                <w:rFonts w:ascii="Times New Roman" w:hAnsi="Times New Roman"/>
                <w:noProof/>
                <w:webHidden/>
                <w:sz w:val="20"/>
                <w:szCs w:val="20"/>
              </w:rPr>
              <w:fldChar w:fldCharType="begin"/>
            </w:r>
            <w:r w:rsidR="00562564" w:rsidRPr="00562564">
              <w:rPr>
                <w:rFonts w:ascii="Times New Roman" w:hAnsi="Times New Roman"/>
                <w:noProof/>
                <w:webHidden/>
                <w:sz w:val="20"/>
                <w:szCs w:val="20"/>
              </w:rPr>
              <w:instrText xml:space="preserve"> PAGEREF _Toc3552510 \h </w:instrText>
            </w:r>
            <w:r w:rsidR="00562564" w:rsidRPr="00562564">
              <w:rPr>
                <w:rFonts w:ascii="Times New Roman" w:hAnsi="Times New Roman"/>
                <w:noProof/>
                <w:webHidden/>
                <w:sz w:val="20"/>
                <w:szCs w:val="20"/>
              </w:rPr>
            </w:r>
            <w:r w:rsidR="00562564" w:rsidRPr="00562564">
              <w:rPr>
                <w:rFonts w:ascii="Times New Roman" w:hAnsi="Times New Roman"/>
                <w:noProof/>
                <w:webHidden/>
                <w:sz w:val="20"/>
                <w:szCs w:val="20"/>
              </w:rPr>
              <w:fldChar w:fldCharType="separate"/>
            </w:r>
            <w:r w:rsidR="00562564">
              <w:rPr>
                <w:rFonts w:ascii="Times New Roman" w:hAnsi="Times New Roman"/>
                <w:noProof/>
                <w:webHidden/>
                <w:sz w:val="20"/>
                <w:szCs w:val="20"/>
              </w:rPr>
              <w:t>18</w:t>
            </w:r>
            <w:r w:rsidR="00562564" w:rsidRPr="00562564">
              <w:rPr>
                <w:rFonts w:ascii="Times New Roman" w:hAnsi="Times New Roman"/>
                <w:noProof/>
                <w:webHidden/>
                <w:sz w:val="20"/>
                <w:szCs w:val="20"/>
              </w:rPr>
              <w:fldChar w:fldCharType="end"/>
            </w:r>
          </w:hyperlink>
        </w:p>
        <w:p w14:paraId="1E0545AC" w14:textId="77777777" w:rsidR="00562564" w:rsidRPr="00562564" w:rsidRDefault="00B02893">
          <w:pPr>
            <w:pStyle w:val="TDC1"/>
            <w:rPr>
              <w:rFonts w:eastAsiaTheme="minorEastAsia"/>
              <w:noProof/>
              <w:color w:val="auto"/>
              <w:sz w:val="20"/>
              <w:szCs w:val="20"/>
              <w:lang w:eastAsia="es-CR"/>
            </w:rPr>
          </w:pPr>
          <w:hyperlink w:anchor="_Toc3552511" w:history="1">
            <w:r w:rsidR="00562564" w:rsidRPr="00562564">
              <w:rPr>
                <w:rStyle w:val="Hipervnculo"/>
                <w:b/>
                <w:noProof/>
                <w:color w:val="auto"/>
                <w:sz w:val="20"/>
                <w:szCs w:val="20"/>
              </w:rPr>
              <w:t>3. CONCLUSIONES</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_Toc3552511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18</w:t>
            </w:r>
            <w:r w:rsidR="00562564" w:rsidRPr="00562564">
              <w:rPr>
                <w:noProof/>
                <w:webHidden/>
                <w:color w:val="auto"/>
                <w:sz w:val="20"/>
                <w:szCs w:val="20"/>
              </w:rPr>
              <w:fldChar w:fldCharType="end"/>
            </w:r>
          </w:hyperlink>
        </w:p>
        <w:p w14:paraId="4B4E9D3E" w14:textId="77777777" w:rsidR="00562564" w:rsidRPr="00562564" w:rsidRDefault="00B02893">
          <w:pPr>
            <w:pStyle w:val="TDC1"/>
            <w:rPr>
              <w:rFonts w:eastAsiaTheme="minorEastAsia"/>
              <w:noProof/>
              <w:color w:val="auto"/>
              <w:sz w:val="20"/>
              <w:szCs w:val="20"/>
              <w:lang w:eastAsia="es-CR"/>
            </w:rPr>
          </w:pPr>
          <w:hyperlink w:anchor="_Toc3552512" w:history="1">
            <w:r w:rsidR="00562564" w:rsidRPr="00562564">
              <w:rPr>
                <w:rStyle w:val="Hipervnculo"/>
                <w:b/>
                <w:noProof/>
                <w:color w:val="auto"/>
                <w:sz w:val="20"/>
                <w:szCs w:val="20"/>
              </w:rPr>
              <w:t>4. RECOMENDACIONES</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_Toc3552512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19</w:t>
            </w:r>
            <w:r w:rsidR="00562564" w:rsidRPr="00562564">
              <w:rPr>
                <w:noProof/>
                <w:webHidden/>
                <w:color w:val="auto"/>
                <w:sz w:val="20"/>
                <w:szCs w:val="20"/>
              </w:rPr>
              <w:fldChar w:fldCharType="end"/>
            </w:r>
          </w:hyperlink>
        </w:p>
        <w:p w14:paraId="21F3317C" w14:textId="77777777" w:rsidR="00562564" w:rsidRPr="00562564" w:rsidRDefault="00B02893">
          <w:pPr>
            <w:pStyle w:val="TDC1"/>
            <w:rPr>
              <w:rFonts w:eastAsiaTheme="minorEastAsia"/>
              <w:noProof/>
              <w:color w:val="auto"/>
              <w:sz w:val="20"/>
              <w:szCs w:val="20"/>
              <w:lang w:eastAsia="es-CR"/>
            </w:rPr>
          </w:pPr>
          <w:hyperlink w:anchor="_Toc3552513" w:history="1">
            <w:r w:rsidR="00562564" w:rsidRPr="00562564">
              <w:rPr>
                <w:rStyle w:val="Hipervnculo"/>
                <w:b/>
                <w:noProof/>
                <w:color w:val="auto"/>
                <w:sz w:val="20"/>
                <w:szCs w:val="20"/>
              </w:rPr>
              <w:t>5. PUNTOS ESPECÍFICOS</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_Toc3552513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21</w:t>
            </w:r>
            <w:r w:rsidR="00562564" w:rsidRPr="00562564">
              <w:rPr>
                <w:noProof/>
                <w:webHidden/>
                <w:color w:val="auto"/>
                <w:sz w:val="20"/>
                <w:szCs w:val="20"/>
              </w:rPr>
              <w:fldChar w:fldCharType="end"/>
            </w:r>
          </w:hyperlink>
        </w:p>
        <w:p w14:paraId="09BE3359" w14:textId="77777777" w:rsidR="00562564" w:rsidRPr="00562564" w:rsidRDefault="00B02893">
          <w:pPr>
            <w:pStyle w:val="TDC2"/>
            <w:tabs>
              <w:tab w:val="right" w:leader="dot" w:pos="8828"/>
            </w:tabs>
            <w:rPr>
              <w:rFonts w:eastAsiaTheme="minorEastAsia"/>
              <w:smallCaps w:val="0"/>
              <w:noProof/>
              <w:lang w:val="es-CR" w:eastAsia="es-CR"/>
            </w:rPr>
          </w:pPr>
          <w:hyperlink w:anchor="_Toc3552514" w:history="1">
            <w:r w:rsidR="00562564" w:rsidRPr="00562564">
              <w:rPr>
                <w:rStyle w:val="Hipervnculo"/>
                <w:noProof/>
                <w:color w:val="auto"/>
              </w:rPr>
              <w:t>5.1 Origen</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_Toc3552514 \h </w:instrText>
            </w:r>
            <w:r w:rsidR="00562564" w:rsidRPr="00562564">
              <w:rPr>
                <w:noProof/>
                <w:webHidden/>
              </w:rPr>
            </w:r>
            <w:r w:rsidR="00562564" w:rsidRPr="00562564">
              <w:rPr>
                <w:noProof/>
                <w:webHidden/>
              </w:rPr>
              <w:fldChar w:fldCharType="separate"/>
            </w:r>
            <w:r w:rsidR="00562564">
              <w:rPr>
                <w:noProof/>
                <w:webHidden/>
              </w:rPr>
              <w:t>21</w:t>
            </w:r>
            <w:r w:rsidR="00562564" w:rsidRPr="00562564">
              <w:rPr>
                <w:noProof/>
                <w:webHidden/>
              </w:rPr>
              <w:fldChar w:fldCharType="end"/>
            </w:r>
          </w:hyperlink>
        </w:p>
        <w:p w14:paraId="60C493E1" w14:textId="77777777" w:rsidR="00562564" w:rsidRPr="00562564" w:rsidRDefault="00B02893">
          <w:pPr>
            <w:pStyle w:val="TDC2"/>
            <w:tabs>
              <w:tab w:val="right" w:leader="dot" w:pos="8828"/>
            </w:tabs>
            <w:rPr>
              <w:rFonts w:eastAsiaTheme="minorEastAsia"/>
              <w:smallCaps w:val="0"/>
              <w:noProof/>
              <w:lang w:val="es-CR" w:eastAsia="es-CR"/>
            </w:rPr>
          </w:pPr>
          <w:hyperlink w:anchor="_Toc3552515" w:history="1">
            <w:r w:rsidR="00562564" w:rsidRPr="00562564">
              <w:rPr>
                <w:rStyle w:val="Hipervnculo"/>
                <w:noProof/>
                <w:color w:val="auto"/>
              </w:rPr>
              <w:t>5.2 Normativa Aplicable</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_Toc3552515 \h </w:instrText>
            </w:r>
            <w:r w:rsidR="00562564" w:rsidRPr="00562564">
              <w:rPr>
                <w:noProof/>
                <w:webHidden/>
              </w:rPr>
            </w:r>
            <w:r w:rsidR="00562564" w:rsidRPr="00562564">
              <w:rPr>
                <w:noProof/>
                <w:webHidden/>
              </w:rPr>
              <w:fldChar w:fldCharType="separate"/>
            </w:r>
            <w:r w:rsidR="00562564">
              <w:rPr>
                <w:noProof/>
                <w:webHidden/>
              </w:rPr>
              <w:t>21</w:t>
            </w:r>
            <w:r w:rsidR="00562564" w:rsidRPr="00562564">
              <w:rPr>
                <w:noProof/>
                <w:webHidden/>
              </w:rPr>
              <w:fldChar w:fldCharType="end"/>
            </w:r>
          </w:hyperlink>
        </w:p>
        <w:p w14:paraId="706A0191" w14:textId="77777777" w:rsidR="00562564" w:rsidRPr="00562564" w:rsidRDefault="00B02893">
          <w:pPr>
            <w:pStyle w:val="TDC2"/>
            <w:tabs>
              <w:tab w:val="right" w:leader="dot" w:pos="8828"/>
            </w:tabs>
            <w:rPr>
              <w:rFonts w:eastAsiaTheme="minorEastAsia"/>
              <w:smallCaps w:val="0"/>
              <w:noProof/>
              <w:lang w:val="es-CR" w:eastAsia="es-CR"/>
            </w:rPr>
          </w:pPr>
          <w:hyperlink w:anchor="_Toc3552516" w:history="1">
            <w:r w:rsidR="00562564" w:rsidRPr="00562564">
              <w:rPr>
                <w:rStyle w:val="Hipervnculo"/>
                <w:noProof/>
                <w:color w:val="auto"/>
              </w:rPr>
              <w:t>5.3 Discusión de resultados</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_Toc3552516 \h </w:instrText>
            </w:r>
            <w:r w:rsidR="00562564" w:rsidRPr="00562564">
              <w:rPr>
                <w:noProof/>
                <w:webHidden/>
              </w:rPr>
            </w:r>
            <w:r w:rsidR="00562564" w:rsidRPr="00562564">
              <w:rPr>
                <w:noProof/>
                <w:webHidden/>
              </w:rPr>
              <w:fldChar w:fldCharType="separate"/>
            </w:r>
            <w:r w:rsidR="00562564">
              <w:rPr>
                <w:noProof/>
                <w:webHidden/>
              </w:rPr>
              <w:t>21</w:t>
            </w:r>
            <w:r w:rsidR="00562564" w:rsidRPr="00562564">
              <w:rPr>
                <w:noProof/>
                <w:webHidden/>
              </w:rPr>
              <w:fldChar w:fldCharType="end"/>
            </w:r>
          </w:hyperlink>
        </w:p>
        <w:p w14:paraId="2DCB07EB" w14:textId="77777777" w:rsidR="00562564" w:rsidRPr="00562564" w:rsidRDefault="00B02893">
          <w:pPr>
            <w:pStyle w:val="TDC2"/>
            <w:tabs>
              <w:tab w:val="right" w:leader="dot" w:pos="8828"/>
            </w:tabs>
            <w:rPr>
              <w:rFonts w:eastAsiaTheme="minorEastAsia"/>
              <w:smallCaps w:val="0"/>
              <w:noProof/>
              <w:lang w:val="es-CR" w:eastAsia="es-CR"/>
            </w:rPr>
          </w:pPr>
          <w:hyperlink w:anchor="_Toc3552517" w:history="1">
            <w:r w:rsidR="00562564" w:rsidRPr="00562564">
              <w:rPr>
                <w:rStyle w:val="Hipervnculo"/>
                <w:noProof/>
                <w:color w:val="auto"/>
              </w:rPr>
              <w:t>5.4 Trámite del informe</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_Toc3552517 \h </w:instrText>
            </w:r>
            <w:r w:rsidR="00562564" w:rsidRPr="00562564">
              <w:rPr>
                <w:noProof/>
                <w:webHidden/>
              </w:rPr>
            </w:r>
            <w:r w:rsidR="00562564" w:rsidRPr="00562564">
              <w:rPr>
                <w:noProof/>
                <w:webHidden/>
              </w:rPr>
              <w:fldChar w:fldCharType="separate"/>
            </w:r>
            <w:r w:rsidR="00562564">
              <w:rPr>
                <w:noProof/>
                <w:webHidden/>
              </w:rPr>
              <w:t>22</w:t>
            </w:r>
            <w:r w:rsidR="00562564" w:rsidRPr="00562564">
              <w:rPr>
                <w:noProof/>
                <w:webHidden/>
              </w:rPr>
              <w:fldChar w:fldCharType="end"/>
            </w:r>
          </w:hyperlink>
        </w:p>
        <w:p w14:paraId="60FBA01B" w14:textId="77777777" w:rsidR="00562564" w:rsidRPr="00562564" w:rsidRDefault="00B02893">
          <w:pPr>
            <w:pStyle w:val="TDC1"/>
            <w:rPr>
              <w:rFonts w:eastAsiaTheme="minorEastAsia"/>
              <w:noProof/>
              <w:color w:val="auto"/>
              <w:sz w:val="20"/>
              <w:szCs w:val="20"/>
              <w:lang w:eastAsia="es-CR"/>
            </w:rPr>
          </w:pPr>
          <w:hyperlink w:anchor="_Toc3552518" w:history="1">
            <w:r w:rsidR="00562564" w:rsidRPr="00562564">
              <w:rPr>
                <w:rStyle w:val="Hipervnculo"/>
                <w:b/>
                <w:noProof/>
                <w:color w:val="auto"/>
                <w:sz w:val="20"/>
                <w:szCs w:val="20"/>
              </w:rPr>
              <w:t>6. NOMBRES Y FIRMAS</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_Toc3552518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22</w:t>
            </w:r>
            <w:r w:rsidR="00562564" w:rsidRPr="00562564">
              <w:rPr>
                <w:noProof/>
                <w:webHidden/>
                <w:color w:val="auto"/>
                <w:sz w:val="20"/>
                <w:szCs w:val="20"/>
              </w:rPr>
              <w:fldChar w:fldCharType="end"/>
            </w:r>
          </w:hyperlink>
        </w:p>
        <w:p w14:paraId="303A0E91" w14:textId="77777777" w:rsidR="00562564" w:rsidRPr="00562564" w:rsidRDefault="00B02893">
          <w:pPr>
            <w:pStyle w:val="TDC1"/>
            <w:rPr>
              <w:rFonts w:eastAsiaTheme="minorEastAsia"/>
              <w:noProof/>
              <w:color w:val="auto"/>
              <w:sz w:val="20"/>
              <w:szCs w:val="20"/>
              <w:lang w:eastAsia="es-CR"/>
            </w:rPr>
          </w:pPr>
          <w:hyperlink w:anchor="_Toc3552519" w:history="1">
            <w:r w:rsidR="00562564" w:rsidRPr="00562564">
              <w:rPr>
                <w:rStyle w:val="Hipervnculo"/>
                <w:b/>
                <w:noProof/>
                <w:color w:val="auto"/>
                <w:sz w:val="20"/>
                <w:szCs w:val="20"/>
                <w:lang w:eastAsia="es-ES"/>
              </w:rPr>
              <w:t>7. ANEXO</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_Toc3552519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23</w:t>
            </w:r>
            <w:r w:rsidR="00562564" w:rsidRPr="00562564">
              <w:rPr>
                <w:noProof/>
                <w:webHidden/>
                <w:color w:val="auto"/>
                <w:sz w:val="20"/>
                <w:szCs w:val="20"/>
              </w:rPr>
              <w:fldChar w:fldCharType="end"/>
            </w:r>
          </w:hyperlink>
        </w:p>
        <w:p w14:paraId="3E4D9396" w14:textId="77777777" w:rsidR="00562564" w:rsidRPr="00562564" w:rsidRDefault="00B02893">
          <w:pPr>
            <w:pStyle w:val="TDC1"/>
            <w:rPr>
              <w:rFonts w:eastAsiaTheme="minorEastAsia"/>
              <w:noProof/>
              <w:color w:val="auto"/>
              <w:sz w:val="20"/>
              <w:szCs w:val="20"/>
              <w:lang w:eastAsia="es-CR"/>
            </w:rPr>
          </w:pPr>
          <w:hyperlink w:anchor="_Toc3552520" w:history="1">
            <w:r w:rsidR="00562564" w:rsidRPr="00562564">
              <w:rPr>
                <w:rStyle w:val="Hipervnculo"/>
                <w:b/>
                <w:noProof/>
                <w:color w:val="auto"/>
                <w:sz w:val="20"/>
                <w:szCs w:val="20"/>
                <w:lang w:eastAsia="es-ES"/>
              </w:rPr>
              <w:t>Anexo 1</w:t>
            </w:r>
            <w:r w:rsidR="00562564" w:rsidRPr="00562564">
              <w:rPr>
                <w:noProof/>
                <w:webHidden/>
                <w:color w:val="auto"/>
                <w:sz w:val="20"/>
                <w:szCs w:val="20"/>
              </w:rPr>
              <w:tab/>
            </w:r>
            <w:r w:rsidR="00562564" w:rsidRPr="00562564">
              <w:rPr>
                <w:noProof/>
                <w:webHidden/>
                <w:color w:val="auto"/>
                <w:sz w:val="20"/>
                <w:szCs w:val="20"/>
              </w:rPr>
              <w:fldChar w:fldCharType="begin"/>
            </w:r>
            <w:r w:rsidR="00562564" w:rsidRPr="00562564">
              <w:rPr>
                <w:noProof/>
                <w:webHidden/>
                <w:color w:val="auto"/>
                <w:sz w:val="20"/>
                <w:szCs w:val="20"/>
              </w:rPr>
              <w:instrText xml:space="preserve"> PAGEREF _Toc3552520 \h </w:instrText>
            </w:r>
            <w:r w:rsidR="00562564" w:rsidRPr="00562564">
              <w:rPr>
                <w:noProof/>
                <w:webHidden/>
                <w:color w:val="auto"/>
                <w:sz w:val="20"/>
                <w:szCs w:val="20"/>
              </w:rPr>
            </w:r>
            <w:r w:rsidR="00562564" w:rsidRPr="00562564">
              <w:rPr>
                <w:noProof/>
                <w:webHidden/>
                <w:color w:val="auto"/>
                <w:sz w:val="20"/>
                <w:szCs w:val="20"/>
              </w:rPr>
              <w:fldChar w:fldCharType="separate"/>
            </w:r>
            <w:r w:rsidR="00562564">
              <w:rPr>
                <w:noProof/>
                <w:webHidden/>
                <w:color w:val="auto"/>
                <w:sz w:val="20"/>
                <w:szCs w:val="20"/>
              </w:rPr>
              <w:t>23</w:t>
            </w:r>
            <w:r w:rsidR="00562564" w:rsidRPr="00562564">
              <w:rPr>
                <w:noProof/>
                <w:webHidden/>
                <w:color w:val="auto"/>
                <w:sz w:val="20"/>
                <w:szCs w:val="20"/>
              </w:rPr>
              <w:fldChar w:fldCharType="end"/>
            </w:r>
          </w:hyperlink>
        </w:p>
        <w:p w14:paraId="4123C333" w14:textId="77777777" w:rsidR="00562564" w:rsidRPr="00562564" w:rsidRDefault="00B0289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3552521" w:history="1">
            <w:r w:rsidR="00562564" w:rsidRPr="00562564">
              <w:rPr>
                <w:rStyle w:val="Hipervnculo"/>
                <w:noProof/>
                <w:color w:val="auto"/>
                <w:lang w:val="es-CR"/>
              </w:rPr>
              <w:t>Anexo 2</w:t>
            </w:r>
            <w:r w:rsidR="00562564" w:rsidRPr="00562564">
              <w:rPr>
                <w:noProof/>
                <w:webHidden/>
              </w:rPr>
              <w:tab/>
            </w:r>
            <w:r w:rsidR="00562564" w:rsidRPr="00562564">
              <w:rPr>
                <w:noProof/>
                <w:webHidden/>
              </w:rPr>
              <w:fldChar w:fldCharType="begin"/>
            </w:r>
            <w:r w:rsidR="00562564" w:rsidRPr="00562564">
              <w:rPr>
                <w:noProof/>
                <w:webHidden/>
              </w:rPr>
              <w:instrText xml:space="preserve"> PAGEREF _Toc3552521 \h </w:instrText>
            </w:r>
            <w:r w:rsidR="00562564" w:rsidRPr="00562564">
              <w:rPr>
                <w:noProof/>
                <w:webHidden/>
              </w:rPr>
            </w:r>
            <w:r w:rsidR="00562564" w:rsidRPr="00562564">
              <w:rPr>
                <w:noProof/>
                <w:webHidden/>
              </w:rPr>
              <w:fldChar w:fldCharType="separate"/>
            </w:r>
            <w:r w:rsidR="00562564">
              <w:rPr>
                <w:noProof/>
                <w:webHidden/>
              </w:rPr>
              <w:t>24</w:t>
            </w:r>
            <w:r w:rsidR="00562564" w:rsidRPr="00562564">
              <w:rPr>
                <w:noProof/>
                <w:webHidden/>
              </w:rPr>
              <w:fldChar w:fldCharType="end"/>
            </w:r>
          </w:hyperlink>
        </w:p>
        <w:p w14:paraId="1377EC9F" w14:textId="14044FF9" w:rsidR="00562564" w:rsidRPr="00562564" w:rsidRDefault="00562564">
          <w:r w:rsidRPr="00562564">
            <w:rPr>
              <w:b/>
              <w:bCs/>
            </w:rPr>
            <w:fldChar w:fldCharType="end"/>
          </w:r>
        </w:p>
      </w:sdtContent>
    </w:sdt>
    <w:p w14:paraId="0DBD698A" w14:textId="77777777" w:rsidR="00A330D6" w:rsidRDefault="00A330D6" w:rsidP="007D533D">
      <w:pPr>
        <w:tabs>
          <w:tab w:val="left" w:pos="851"/>
          <w:tab w:val="right" w:pos="8830"/>
        </w:tabs>
        <w:jc w:val="center"/>
        <w:rPr>
          <w:b/>
        </w:rPr>
      </w:pPr>
    </w:p>
    <w:p w14:paraId="368689D5" w14:textId="77777777" w:rsidR="00A330D6" w:rsidRDefault="00A330D6" w:rsidP="007D533D">
      <w:pPr>
        <w:tabs>
          <w:tab w:val="left" w:pos="851"/>
          <w:tab w:val="right" w:pos="8830"/>
        </w:tabs>
        <w:jc w:val="center"/>
        <w:rPr>
          <w:b/>
        </w:rPr>
      </w:pPr>
    </w:p>
    <w:p w14:paraId="62627AC8" w14:textId="77777777" w:rsidR="00A330D6" w:rsidRDefault="00A330D6" w:rsidP="007D533D">
      <w:pPr>
        <w:tabs>
          <w:tab w:val="left" w:pos="851"/>
          <w:tab w:val="right" w:pos="8830"/>
        </w:tabs>
        <w:jc w:val="center"/>
        <w:rPr>
          <w:b/>
        </w:rPr>
      </w:pPr>
    </w:p>
    <w:p w14:paraId="770D32A7" w14:textId="77777777" w:rsidR="00A330D6" w:rsidRDefault="00A330D6" w:rsidP="007D533D">
      <w:pPr>
        <w:tabs>
          <w:tab w:val="left" w:pos="851"/>
          <w:tab w:val="right" w:pos="8830"/>
        </w:tabs>
        <w:jc w:val="center"/>
        <w:rPr>
          <w:b/>
        </w:rPr>
      </w:pPr>
    </w:p>
    <w:p w14:paraId="505D355E" w14:textId="77777777" w:rsidR="00A330D6" w:rsidRDefault="00A330D6" w:rsidP="007D533D">
      <w:pPr>
        <w:tabs>
          <w:tab w:val="left" w:pos="851"/>
          <w:tab w:val="right" w:pos="8830"/>
        </w:tabs>
        <w:jc w:val="center"/>
        <w:rPr>
          <w:b/>
        </w:rPr>
      </w:pPr>
    </w:p>
    <w:p w14:paraId="22D52500" w14:textId="77777777" w:rsidR="00A330D6" w:rsidRDefault="00A330D6" w:rsidP="007D533D">
      <w:pPr>
        <w:tabs>
          <w:tab w:val="left" w:pos="851"/>
          <w:tab w:val="right" w:pos="8830"/>
        </w:tabs>
        <w:jc w:val="center"/>
        <w:rPr>
          <w:b/>
        </w:rPr>
      </w:pPr>
    </w:p>
    <w:p w14:paraId="02F13437" w14:textId="77777777" w:rsidR="00453D12" w:rsidRPr="00A330D6" w:rsidRDefault="00453D12" w:rsidP="00A330D6">
      <w:pPr>
        <w:pStyle w:val="Ttulo1"/>
        <w:jc w:val="center"/>
        <w:rPr>
          <w:rFonts w:ascii="Times New Roman" w:hAnsi="Times New Roman" w:cs="Times New Roman"/>
          <w:b/>
          <w:color w:val="auto"/>
          <w:sz w:val="24"/>
          <w:szCs w:val="24"/>
        </w:rPr>
      </w:pPr>
      <w:bookmarkStart w:id="0" w:name="_Toc3552492"/>
      <w:r w:rsidRPr="00A330D6">
        <w:rPr>
          <w:rFonts w:ascii="Times New Roman" w:hAnsi="Times New Roman" w:cs="Times New Roman"/>
          <w:b/>
          <w:color w:val="auto"/>
          <w:sz w:val="24"/>
          <w:szCs w:val="24"/>
        </w:rPr>
        <w:lastRenderedPageBreak/>
        <w:t>RESUMEN EJECUTIVO</w:t>
      </w:r>
      <w:bookmarkEnd w:id="0"/>
    </w:p>
    <w:p w14:paraId="7A6CD348" w14:textId="77777777" w:rsidR="00172B3E" w:rsidRPr="008F5244" w:rsidRDefault="00172B3E" w:rsidP="008D3FC4">
      <w:pPr>
        <w:pStyle w:val="Textoindependiente"/>
        <w:widowControl w:val="0"/>
        <w:autoSpaceDE w:val="0"/>
        <w:autoSpaceDN w:val="0"/>
        <w:adjustRightInd w:val="0"/>
        <w:contextualSpacing/>
        <w:rPr>
          <w:rFonts w:ascii="Times New Roman" w:hAnsi="Times New Roman"/>
          <w:b/>
          <w:szCs w:val="24"/>
          <w:lang w:val="es-ES"/>
        </w:rPr>
      </w:pPr>
    </w:p>
    <w:p w14:paraId="3BF25EEE" w14:textId="77777777" w:rsidR="005A301F" w:rsidRPr="005C0FA7" w:rsidRDefault="00B94ACC" w:rsidP="008D3FC4">
      <w:pPr>
        <w:pStyle w:val="Textoindependiente"/>
        <w:widowControl w:val="0"/>
        <w:autoSpaceDE w:val="0"/>
        <w:autoSpaceDN w:val="0"/>
        <w:adjustRightInd w:val="0"/>
        <w:contextualSpacing/>
        <w:rPr>
          <w:rFonts w:ascii="Times New Roman" w:hAnsi="Times New Roman"/>
          <w:bCs w:val="0"/>
          <w:szCs w:val="24"/>
          <w:lang w:val="es-ES"/>
        </w:rPr>
      </w:pPr>
      <w:r w:rsidRPr="00B94ACC">
        <w:rPr>
          <w:rFonts w:ascii="Times New Roman" w:hAnsi="Times New Roman"/>
          <w:bCs w:val="0"/>
          <w:szCs w:val="24"/>
          <w:lang w:val="es-ES"/>
        </w:rPr>
        <w:t>La Dirección de Auditoría Interna, en cumplimiento del Plan de Trabajo para el año 201</w:t>
      </w:r>
      <w:r w:rsidR="00A23AE1">
        <w:rPr>
          <w:rFonts w:ascii="Times New Roman" w:hAnsi="Times New Roman"/>
          <w:bCs w:val="0"/>
          <w:szCs w:val="24"/>
          <w:lang w:val="es-ES"/>
        </w:rPr>
        <w:t>7</w:t>
      </w:r>
      <w:r w:rsidRPr="00B94ACC">
        <w:rPr>
          <w:rFonts w:ascii="Times New Roman" w:hAnsi="Times New Roman"/>
          <w:bCs w:val="0"/>
          <w:szCs w:val="24"/>
          <w:lang w:val="es-ES"/>
        </w:rPr>
        <w:t xml:space="preserve">, </w:t>
      </w:r>
      <w:r w:rsidRPr="005C0FA7">
        <w:rPr>
          <w:rFonts w:ascii="Times New Roman" w:hAnsi="Times New Roman"/>
          <w:bCs w:val="0"/>
          <w:szCs w:val="24"/>
          <w:lang w:val="es-ES"/>
        </w:rPr>
        <w:t xml:space="preserve">realizó el estudio </w:t>
      </w:r>
      <w:r w:rsidR="00A23AE1" w:rsidRPr="005C0FA7">
        <w:rPr>
          <w:rFonts w:ascii="Times New Roman" w:hAnsi="Times New Roman"/>
          <w:bCs w:val="0"/>
          <w:szCs w:val="24"/>
          <w:lang w:val="es-ES"/>
        </w:rPr>
        <w:t>21</w:t>
      </w:r>
      <w:r w:rsidRPr="005C0FA7">
        <w:rPr>
          <w:rFonts w:ascii="Times New Roman" w:hAnsi="Times New Roman"/>
          <w:bCs w:val="0"/>
          <w:szCs w:val="24"/>
          <w:lang w:val="es-ES"/>
        </w:rPr>
        <w:t>-1</w:t>
      </w:r>
      <w:r w:rsidR="00A23AE1" w:rsidRPr="005C0FA7">
        <w:rPr>
          <w:rFonts w:ascii="Times New Roman" w:hAnsi="Times New Roman"/>
          <w:bCs w:val="0"/>
          <w:szCs w:val="24"/>
          <w:lang w:val="es-ES"/>
        </w:rPr>
        <w:t>7</w:t>
      </w:r>
      <w:r w:rsidRPr="005C0FA7">
        <w:rPr>
          <w:rFonts w:ascii="Times New Roman" w:hAnsi="Times New Roman"/>
          <w:bCs w:val="0"/>
          <w:szCs w:val="24"/>
          <w:lang w:val="es-ES"/>
        </w:rPr>
        <w:t xml:space="preserve"> denominado “Programa</w:t>
      </w:r>
      <w:r w:rsidR="00B50AD7" w:rsidRPr="005C0FA7">
        <w:rPr>
          <w:rFonts w:ascii="Times New Roman" w:hAnsi="Times New Roman"/>
          <w:bCs w:val="0"/>
          <w:szCs w:val="24"/>
          <w:lang w:val="es-ES"/>
        </w:rPr>
        <w:t>s</w:t>
      </w:r>
      <w:r w:rsidRPr="005C0FA7">
        <w:rPr>
          <w:rFonts w:ascii="Times New Roman" w:hAnsi="Times New Roman"/>
          <w:bCs w:val="0"/>
          <w:szCs w:val="24"/>
          <w:lang w:val="es-ES"/>
        </w:rPr>
        <w:t xml:space="preserve"> </w:t>
      </w:r>
      <w:r w:rsidR="00A23AE1" w:rsidRPr="005C0FA7">
        <w:rPr>
          <w:rFonts w:ascii="Times New Roman" w:hAnsi="Times New Roman"/>
          <w:bCs w:val="0"/>
          <w:szCs w:val="24"/>
          <w:lang w:val="es-ES"/>
        </w:rPr>
        <w:t>de Equidad”</w:t>
      </w:r>
      <w:r w:rsidRPr="005C0FA7">
        <w:rPr>
          <w:rFonts w:ascii="Times New Roman" w:hAnsi="Times New Roman"/>
          <w:bCs w:val="0"/>
          <w:szCs w:val="24"/>
          <w:lang w:val="es-ES"/>
        </w:rPr>
        <w:t xml:space="preserve">. </w:t>
      </w:r>
      <w:r w:rsidR="00852C6C" w:rsidRPr="005C0FA7">
        <w:rPr>
          <w:rFonts w:ascii="Times New Roman" w:hAnsi="Times New Roman"/>
          <w:bCs w:val="0"/>
          <w:szCs w:val="24"/>
          <w:lang w:val="es-ES"/>
        </w:rPr>
        <w:t>Inicialmente e</w:t>
      </w:r>
      <w:r w:rsidRPr="005C0FA7">
        <w:rPr>
          <w:rFonts w:ascii="Times New Roman" w:hAnsi="Times New Roman"/>
          <w:bCs w:val="0"/>
          <w:szCs w:val="24"/>
          <w:lang w:val="es-ES"/>
        </w:rPr>
        <w:t xml:space="preserve">l objetivo consistió en </w:t>
      </w:r>
      <w:r w:rsidR="00A23AE1" w:rsidRPr="005C0FA7">
        <w:rPr>
          <w:rFonts w:ascii="Times New Roman" w:hAnsi="Times New Roman"/>
          <w:bCs w:val="0"/>
          <w:szCs w:val="24"/>
          <w:lang w:val="es-ES"/>
        </w:rPr>
        <w:t>establecer y analizar cada uno de los benefic</w:t>
      </w:r>
      <w:bookmarkStart w:id="1" w:name="_GoBack"/>
      <w:bookmarkEnd w:id="1"/>
      <w:r w:rsidR="00A23AE1" w:rsidRPr="005C0FA7">
        <w:rPr>
          <w:rFonts w:ascii="Times New Roman" w:hAnsi="Times New Roman"/>
          <w:bCs w:val="0"/>
          <w:szCs w:val="24"/>
          <w:lang w:val="es-ES"/>
        </w:rPr>
        <w:t>ios otorgados a la población estudiantil a través de los Programas de Equidad</w:t>
      </w:r>
      <w:r w:rsidR="00852C6C" w:rsidRPr="005C0FA7">
        <w:rPr>
          <w:rFonts w:ascii="Times New Roman" w:hAnsi="Times New Roman"/>
          <w:bCs w:val="0"/>
          <w:szCs w:val="24"/>
          <w:lang w:val="es-ES"/>
        </w:rPr>
        <w:t xml:space="preserve">, sin embargo, se delimitó a </w:t>
      </w:r>
      <w:r w:rsidR="00852C6C" w:rsidRPr="005C0FA7">
        <w:rPr>
          <w:rFonts w:ascii="Times New Roman" w:eastAsiaTheme="minorHAnsi" w:hAnsi="Times New Roman"/>
          <w:lang w:eastAsia="en-US"/>
        </w:rPr>
        <w:t>evaluar la estructura organizacional, funciones y las operaciones realizadas por la Dirección</w:t>
      </w:r>
      <w:r w:rsidRPr="005C0FA7">
        <w:rPr>
          <w:rFonts w:ascii="Times New Roman" w:hAnsi="Times New Roman"/>
          <w:bCs w:val="0"/>
          <w:szCs w:val="24"/>
          <w:lang w:val="es-ES"/>
        </w:rPr>
        <w:t xml:space="preserve">. </w:t>
      </w:r>
    </w:p>
    <w:p w14:paraId="5C309EE9" w14:textId="77777777" w:rsidR="005A301F" w:rsidRPr="005C0FA7" w:rsidRDefault="005A301F" w:rsidP="008D3FC4">
      <w:pPr>
        <w:pStyle w:val="Textoindependiente"/>
        <w:widowControl w:val="0"/>
        <w:autoSpaceDE w:val="0"/>
        <w:autoSpaceDN w:val="0"/>
        <w:adjustRightInd w:val="0"/>
        <w:contextualSpacing/>
        <w:rPr>
          <w:rFonts w:ascii="Times New Roman" w:hAnsi="Times New Roman"/>
          <w:bCs w:val="0"/>
          <w:szCs w:val="24"/>
          <w:lang w:val="es-ES"/>
        </w:rPr>
      </w:pPr>
    </w:p>
    <w:p w14:paraId="504D314D" w14:textId="77777777" w:rsidR="00C1405A" w:rsidRPr="005C0FA7" w:rsidRDefault="00C1405A" w:rsidP="008D3FC4">
      <w:pPr>
        <w:pStyle w:val="Textoindependiente"/>
        <w:widowControl w:val="0"/>
        <w:autoSpaceDE w:val="0"/>
        <w:autoSpaceDN w:val="0"/>
        <w:adjustRightInd w:val="0"/>
        <w:contextualSpacing/>
        <w:rPr>
          <w:rFonts w:ascii="Times New Roman" w:hAnsi="Times New Roman"/>
          <w:bCs w:val="0"/>
          <w:szCs w:val="24"/>
          <w:lang w:val="es-ES"/>
        </w:rPr>
      </w:pPr>
      <w:r w:rsidRPr="005C0FA7">
        <w:rPr>
          <w:rFonts w:ascii="Times New Roman" w:hAnsi="Times New Roman"/>
          <w:bCs w:val="0"/>
          <w:szCs w:val="24"/>
          <w:lang w:val="es-ES"/>
        </w:rPr>
        <w:t xml:space="preserve">Cabe indicar que el presente informe fue evaluado en conjunto con el informe DFOE-SOC-IF-00026-2018 del 21 de diciembre, 2018 de la Contraloría General de la República, esto con el fin de unificar criterios y no emitir duplicidad en las recomendaciones respectivas. </w:t>
      </w:r>
    </w:p>
    <w:p w14:paraId="3C693CF3" w14:textId="77777777" w:rsidR="00C1405A" w:rsidRPr="005C0FA7" w:rsidRDefault="00C1405A" w:rsidP="008D3FC4">
      <w:pPr>
        <w:pStyle w:val="Textoindependiente"/>
        <w:widowControl w:val="0"/>
        <w:autoSpaceDE w:val="0"/>
        <w:autoSpaceDN w:val="0"/>
        <w:adjustRightInd w:val="0"/>
        <w:contextualSpacing/>
        <w:rPr>
          <w:rFonts w:ascii="Times New Roman" w:hAnsi="Times New Roman"/>
          <w:bCs w:val="0"/>
          <w:szCs w:val="24"/>
          <w:lang w:val="es-ES"/>
        </w:rPr>
      </w:pPr>
    </w:p>
    <w:p w14:paraId="2C541849" w14:textId="77777777" w:rsidR="00244C80" w:rsidRPr="005C0FA7" w:rsidRDefault="00B94ACC" w:rsidP="008D3FC4">
      <w:pPr>
        <w:pStyle w:val="Textoindependiente"/>
        <w:widowControl w:val="0"/>
        <w:autoSpaceDE w:val="0"/>
        <w:autoSpaceDN w:val="0"/>
        <w:adjustRightInd w:val="0"/>
        <w:contextualSpacing/>
        <w:rPr>
          <w:rFonts w:ascii="Times New Roman" w:hAnsi="Times New Roman"/>
          <w:bCs w:val="0"/>
          <w:szCs w:val="24"/>
          <w:lang w:val="es-ES"/>
        </w:rPr>
      </w:pPr>
      <w:r w:rsidRPr="005C0FA7">
        <w:rPr>
          <w:rFonts w:ascii="Times New Roman" w:hAnsi="Times New Roman"/>
          <w:bCs w:val="0"/>
          <w:szCs w:val="24"/>
          <w:lang w:val="es-ES"/>
        </w:rPr>
        <w:t xml:space="preserve">En la revisión efectuada, se determinaron una serie debilidades e incumplimientos en la </w:t>
      </w:r>
      <w:r w:rsidR="00A23AE1" w:rsidRPr="005C0FA7">
        <w:rPr>
          <w:rFonts w:ascii="Times New Roman" w:hAnsi="Times New Roman"/>
          <w:bCs w:val="0"/>
          <w:szCs w:val="24"/>
          <w:lang w:val="es-ES"/>
        </w:rPr>
        <w:t>gestión</w:t>
      </w:r>
      <w:r w:rsidRPr="005C0FA7">
        <w:rPr>
          <w:rFonts w:ascii="Times New Roman" w:hAnsi="Times New Roman"/>
          <w:bCs w:val="0"/>
          <w:szCs w:val="24"/>
          <w:lang w:val="es-ES"/>
        </w:rPr>
        <w:t xml:space="preserve">, </w:t>
      </w:r>
      <w:r w:rsidR="00244C80" w:rsidRPr="005C0FA7">
        <w:rPr>
          <w:rFonts w:ascii="Times New Roman" w:hAnsi="Times New Roman"/>
          <w:bCs w:val="0"/>
          <w:szCs w:val="24"/>
          <w:lang w:val="es-ES"/>
        </w:rPr>
        <w:t xml:space="preserve">como es el caso de ausencia de procedimientos para incorporar recursos reintegrados a la Caja Única del Estado al presupuesto ordinario del MEP, deficiente coordinación y comunicación a la hora de solicitar información ante </w:t>
      </w:r>
      <w:r w:rsidR="0045378C" w:rsidRPr="005C0FA7">
        <w:rPr>
          <w:rFonts w:ascii="Times New Roman" w:hAnsi="Times New Roman"/>
          <w:bCs w:val="0"/>
          <w:szCs w:val="24"/>
          <w:lang w:val="es-ES"/>
        </w:rPr>
        <w:t xml:space="preserve">las </w:t>
      </w:r>
      <w:r w:rsidR="00244C80" w:rsidRPr="005C0FA7">
        <w:rPr>
          <w:rFonts w:ascii="Times New Roman" w:hAnsi="Times New Roman"/>
          <w:bCs w:val="0"/>
          <w:szCs w:val="24"/>
          <w:lang w:val="es-ES"/>
        </w:rPr>
        <w:t>instancias externas, puesto que la información que se solicita carece de estandarización</w:t>
      </w:r>
      <w:r w:rsidR="0045378C" w:rsidRPr="005C0FA7">
        <w:rPr>
          <w:rFonts w:ascii="Times New Roman" w:hAnsi="Times New Roman"/>
          <w:bCs w:val="0"/>
          <w:szCs w:val="24"/>
          <w:lang w:val="es-ES"/>
        </w:rPr>
        <w:t>, además que difiere</w:t>
      </w:r>
      <w:r w:rsidR="00244C80" w:rsidRPr="005C0FA7">
        <w:rPr>
          <w:rFonts w:ascii="Times New Roman" w:hAnsi="Times New Roman"/>
          <w:bCs w:val="0"/>
          <w:szCs w:val="24"/>
          <w:lang w:val="es-ES"/>
        </w:rPr>
        <w:t xml:space="preserve"> del instrumento diseñado para dicho </w:t>
      </w:r>
      <w:r w:rsidR="0045378C" w:rsidRPr="005C0FA7">
        <w:rPr>
          <w:rFonts w:ascii="Times New Roman" w:hAnsi="Times New Roman"/>
          <w:bCs w:val="0"/>
          <w:szCs w:val="24"/>
          <w:lang w:val="es-ES"/>
        </w:rPr>
        <w:t>fin; a</w:t>
      </w:r>
      <w:r w:rsidR="00B23E90" w:rsidRPr="005C0FA7">
        <w:rPr>
          <w:rFonts w:ascii="Times New Roman" w:hAnsi="Times New Roman"/>
          <w:bCs w:val="0"/>
          <w:szCs w:val="24"/>
          <w:lang w:val="es-ES"/>
        </w:rPr>
        <w:t xml:space="preserve">sí como </w:t>
      </w:r>
      <w:r w:rsidR="00961F7F" w:rsidRPr="005C0FA7">
        <w:rPr>
          <w:rFonts w:ascii="Times New Roman" w:hAnsi="Times New Roman"/>
          <w:bCs w:val="0"/>
          <w:szCs w:val="24"/>
          <w:lang w:val="es-ES"/>
        </w:rPr>
        <w:t xml:space="preserve">la </w:t>
      </w:r>
      <w:r w:rsidR="00B23E90" w:rsidRPr="005C0FA7">
        <w:rPr>
          <w:rFonts w:ascii="Times New Roman" w:hAnsi="Times New Roman"/>
          <w:bCs w:val="0"/>
          <w:szCs w:val="24"/>
          <w:lang w:val="es-ES"/>
        </w:rPr>
        <w:t>comunicación oficial del cese de funciones de un funcionario, en donde realizó funciones posterior a su despid</w:t>
      </w:r>
      <w:r w:rsidR="0045378C" w:rsidRPr="005C0FA7">
        <w:rPr>
          <w:rFonts w:ascii="Times New Roman" w:hAnsi="Times New Roman"/>
          <w:bCs w:val="0"/>
          <w:szCs w:val="24"/>
          <w:lang w:val="es-ES"/>
        </w:rPr>
        <w:t>o</w:t>
      </w:r>
      <w:r w:rsidR="00B23E90" w:rsidRPr="005C0FA7">
        <w:rPr>
          <w:rFonts w:ascii="Times New Roman" w:hAnsi="Times New Roman"/>
          <w:bCs w:val="0"/>
          <w:szCs w:val="24"/>
          <w:lang w:val="es-ES"/>
        </w:rPr>
        <w:t>.</w:t>
      </w:r>
    </w:p>
    <w:p w14:paraId="3134727A" w14:textId="77777777" w:rsidR="00244C80" w:rsidRPr="005C0FA7" w:rsidRDefault="00244C80" w:rsidP="008D3FC4">
      <w:pPr>
        <w:pStyle w:val="Textoindependiente"/>
        <w:widowControl w:val="0"/>
        <w:autoSpaceDE w:val="0"/>
        <w:autoSpaceDN w:val="0"/>
        <w:adjustRightInd w:val="0"/>
        <w:contextualSpacing/>
        <w:rPr>
          <w:rFonts w:ascii="Times New Roman" w:hAnsi="Times New Roman"/>
          <w:bCs w:val="0"/>
          <w:szCs w:val="24"/>
          <w:lang w:val="es-ES"/>
        </w:rPr>
      </w:pPr>
    </w:p>
    <w:p w14:paraId="44187083" w14:textId="6165B256" w:rsidR="00141698" w:rsidRPr="005C0FA7" w:rsidRDefault="003C00B1" w:rsidP="008D3FC4">
      <w:pPr>
        <w:pStyle w:val="Textoindependiente"/>
        <w:widowControl w:val="0"/>
        <w:autoSpaceDE w:val="0"/>
        <w:autoSpaceDN w:val="0"/>
        <w:adjustRightInd w:val="0"/>
        <w:contextualSpacing/>
        <w:rPr>
          <w:rFonts w:ascii="Times New Roman" w:hAnsi="Times New Roman"/>
          <w:bCs w:val="0"/>
          <w:szCs w:val="24"/>
          <w:lang w:val="es-ES"/>
        </w:rPr>
      </w:pPr>
      <w:r w:rsidRPr="005C0FA7">
        <w:rPr>
          <w:rFonts w:ascii="Times New Roman" w:hAnsi="Times New Roman"/>
          <w:bCs w:val="0"/>
          <w:szCs w:val="24"/>
          <w:lang w:val="es-ES"/>
        </w:rPr>
        <w:t>Aunado a lo anterior,</w:t>
      </w:r>
      <w:r w:rsidR="00B23E90" w:rsidRPr="005C0FA7">
        <w:rPr>
          <w:rFonts w:ascii="Times New Roman" w:hAnsi="Times New Roman"/>
          <w:bCs w:val="0"/>
          <w:szCs w:val="24"/>
          <w:lang w:val="es-ES"/>
        </w:rPr>
        <w:t xml:space="preserve"> se denotan deficiencias de control interno, entre otros aspectos como: </w:t>
      </w:r>
      <w:r w:rsidR="00961F7F" w:rsidRPr="005C0FA7">
        <w:rPr>
          <w:rFonts w:ascii="Times New Roman" w:hAnsi="Times New Roman"/>
          <w:bCs w:val="0"/>
          <w:szCs w:val="24"/>
          <w:lang w:val="es-ES"/>
        </w:rPr>
        <w:t xml:space="preserve">el </w:t>
      </w:r>
      <w:r w:rsidR="00B23E90" w:rsidRPr="005C0FA7">
        <w:rPr>
          <w:rFonts w:ascii="Times New Roman" w:hAnsi="Times New Roman"/>
          <w:bCs w:val="0"/>
          <w:szCs w:val="24"/>
          <w:lang w:val="es-ES"/>
        </w:rPr>
        <w:t>manejo documental de</w:t>
      </w:r>
      <w:r w:rsidR="00141698" w:rsidRPr="005C0FA7">
        <w:rPr>
          <w:rFonts w:ascii="Times New Roman" w:hAnsi="Times New Roman"/>
          <w:bCs w:val="0"/>
          <w:szCs w:val="24"/>
          <w:lang w:val="es-ES"/>
        </w:rPr>
        <w:t>l</w:t>
      </w:r>
      <w:r w:rsidR="00B23E90" w:rsidRPr="005C0FA7">
        <w:rPr>
          <w:rFonts w:ascii="Times New Roman" w:hAnsi="Times New Roman"/>
          <w:bCs w:val="0"/>
          <w:szCs w:val="24"/>
          <w:lang w:val="es-ES"/>
        </w:rPr>
        <w:t xml:space="preserve"> expediente administrativo </w:t>
      </w:r>
      <w:r w:rsidR="00141698" w:rsidRPr="005C0FA7">
        <w:rPr>
          <w:rFonts w:ascii="Times New Roman" w:hAnsi="Times New Roman"/>
          <w:bCs w:val="0"/>
          <w:szCs w:val="24"/>
          <w:lang w:val="es-ES"/>
        </w:rPr>
        <w:t>concerniente a</w:t>
      </w:r>
      <w:r w:rsidR="00B23E90" w:rsidRPr="005C0FA7">
        <w:rPr>
          <w:rFonts w:ascii="Times New Roman" w:hAnsi="Times New Roman"/>
          <w:bCs w:val="0"/>
          <w:szCs w:val="24"/>
          <w:lang w:val="es-ES"/>
        </w:rPr>
        <w:t xml:space="preserve"> una contratación directa </w:t>
      </w:r>
      <w:r w:rsidR="007E4547" w:rsidRPr="007E4547">
        <w:rPr>
          <w:rFonts w:ascii="Times New Roman" w:hAnsi="Times New Roman"/>
          <w:bCs w:val="0"/>
          <w:i/>
          <w:szCs w:val="24"/>
          <w:lang w:val="es-ES"/>
        </w:rPr>
        <w:t>“</w:t>
      </w:r>
      <w:r w:rsidR="007E4547" w:rsidRPr="007E4547">
        <w:rPr>
          <w:rFonts w:ascii="Times New Roman" w:hAnsi="Times New Roman"/>
          <w:i/>
        </w:rPr>
        <w:t xml:space="preserve">2016 CD-000101-0007300001 </w:t>
      </w:r>
      <w:r w:rsidR="00141698" w:rsidRPr="007E4547">
        <w:rPr>
          <w:rFonts w:ascii="Times New Roman" w:hAnsi="Times New Roman"/>
          <w:i/>
        </w:rPr>
        <w:t>Servicio de Consultoría para el Fortalecimiento del Programa de Alimentación y Nutrición del Escolar y Adole</w:t>
      </w:r>
      <w:r w:rsidR="00D82982" w:rsidRPr="007E4547">
        <w:rPr>
          <w:rFonts w:ascii="Times New Roman" w:hAnsi="Times New Roman"/>
          <w:i/>
        </w:rPr>
        <w:t>s</w:t>
      </w:r>
      <w:r w:rsidR="00141698" w:rsidRPr="007E4547">
        <w:rPr>
          <w:rFonts w:ascii="Times New Roman" w:hAnsi="Times New Roman"/>
          <w:i/>
        </w:rPr>
        <w:t>cente (PANEA)</w:t>
      </w:r>
      <w:r w:rsidR="00141698" w:rsidRPr="005C0FA7">
        <w:rPr>
          <w:rFonts w:ascii="Times New Roman" w:hAnsi="Times New Roman"/>
        </w:rPr>
        <w:t>”</w:t>
      </w:r>
      <w:r w:rsidR="00141698" w:rsidRPr="005C0FA7">
        <w:rPr>
          <w:rFonts w:ascii="Times New Roman" w:hAnsi="Times New Roman"/>
          <w:bCs w:val="0"/>
          <w:szCs w:val="24"/>
          <w:lang w:val="es-ES"/>
        </w:rPr>
        <w:t xml:space="preserve"> c</w:t>
      </w:r>
      <w:r w:rsidR="007E4547">
        <w:rPr>
          <w:rFonts w:ascii="Times New Roman" w:hAnsi="Times New Roman"/>
          <w:bCs w:val="0"/>
          <w:szCs w:val="24"/>
          <w:lang w:val="es-ES"/>
        </w:rPr>
        <w:t>on la Universidad de Costa Rica;</w:t>
      </w:r>
      <w:r w:rsidR="00141698" w:rsidRPr="005C0FA7">
        <w:rPr>
          <w:rFonts w:ascii="Times New Roman" w:hAnsi="Times New Roman"/>
          <w:bCs w:val="0"/>
          <w:szCs w:val="24"/>
          <w:lang w:val="es-ES"/>
        </w:rPr>
        <w:t xml:space="preserve"> procedimientos de control</w:t>
      </w:r>
      <w:r w:rsidR="0045378C" w:rsidRPr="005C0FA7">
        <w:rPr>
          <w:rFonts w:ascii="Times New Roman" w:hAnsi="Times New Roman"/>
          <w:bCs w:val="0"/>
          <w:szCs w:val="24"/>
          <w:lang w:val="es-ES"/>
        </w:rPr>
        <w:t xml:space="preserve"> </w:t>
      </w:r>
      <w:r w:rsidR="00141698" w:rsidRPr="005C0FA7">
        <w:rPr>
          <w:rFonts w:ascii="Times New Roman" w:hAnsi="Times New Roman"/>
          <w:bCs w:val="0"/>
          <w:szCs w:val="24"/>
          <w:lang w:val="es-ES"/>
        </w:rPr>
        <w:t>para el seguimiento, verificación y supervisión de fondos reintegrados a la Caja Única del Estado</w:t>
      </w:r>
      <w:r w:rsidR="007E4547">
        <w:rPr>
          <w:rFonts w:ascii="Times New Roman" w:hAnsi="Times New Roman"/>
          <w:bCs w:val="0"/>
          <w:szCs w:val="24"/>
          <w:lang w:val="es-ES"/>
        </w:rPr>
        <w:t>,</w:t>
      </w:r>
      <w:r w:rsidR="00141698" w:rsidRPr="005C0FA7">
        <w:rPr>
          <w:rFonts w:ascii="Times New Roman" w:hAnsi="Times New Roman"/>
          <w:bCs w:val="0"/>
          <w:szCs w:val="24"/>
          <w:lang w:val="es-ES"/>
        </w:rPr>
        <w:t xml:space="preserve"> por parte de la </w:t>
      </w:r>
      <w:r w:rsidR="00D82982" w:rsidRPr="005C0FA7">
        <w:rPr>
          <w:rFonts w:ascii="Times New Roman" w:hAnsi="Times New Roman"/>
          <w:bCs w:val="0"/>
          <w:szCs w:val="24"/>
          <w:lang w:val="es-ES"/>
        </w:rPr>
        <w:t>J</w:t>
      </w:r>
      <w:r w:rsidR="00141698" w:rsidRPr="005C0FA7">
        <w:rPr>
          <w:rFonts w:ascii="Times New Roman" w:hAnsi="Times New Roman"/>
          <w:bCs w:val="0"/>
          <w:szCs w:val="24"/>
          <w:lang w:val="es-ES"/>
        </w:rPr>
        <w:t xml:space="preserve">untas de </w:t>
      </w:r>
      <w:r w:rsidR="00D82982" w:rsidRPr="005C0FA7">
        <w:rPr>
          <w:rFonts w:ascii="Times New Roman" w:hAnsi="Times New Roman"/>
          <w:bCs w:val="0"/>
          <w:szCs w:val="24"/>
          <w:lang w:val="es-ES"/>
        </w:rPr>
        <w:t>E</w:t>
      </w:r>
      <w:r w:rsidR="00141698" w:rsidRPr="005C0FA7">
        <w:rPr>
          <w:rFonts w:ascii="Times New Roman" w:hAnsi="Times New Roman"/>
          <w:bCs w:val="0"/>
          <w:szCs w:val="24"/>
          <w:lang w:val="es-ES"/>
        </w:rPr>
        <w:t xml:space="preserve">ducación y </w:t>
      </w:r>
      <w:r w:rsidR="00D82982" w:rsidRPr="005C0FA7">
        <w:rPr>
          <w:rFonts w:ascii="Times New Roman" w:hAnsi="Times New Roman"/>
          <w:bCs w:val="0"/>
          <w:szCs w:val="24"/>
          <w:lang w:val="es-ES"/>
        </w:rPr>
        <w:t>J</w:t>
      </w:r>
      <w:r w:rsidR="00141698" w:rsidRPr="005C0FA7">
        <w:rPr>
          <w:rFonts w:ascii="Times New Roman" w:hAnsi="Times New Roman"/>
          <w:bCs w:val="0"/>
          <w:szCs w:val="24"/>
          <w:lang w:val="es-ES"/>
        </w:rPr>
        <w:t xml:space="preserve">untas </w:t>
      </w:r>
      <w:r w:rsidR="00D82982" w:rsidRPr="005C0FA7">
        <w:rPr>
          <w:rFonts w:ascii="Times New Roman" w:hAnsi="Times New Roman"/>
          <w:bCs w:val="0"/>
          <w:szCs w:val="24"/>
          <w:lang w:val="es-ES"/>
        </w:rPr>
        <w:t>A</w:t>
      </w:r>
      <w:r w:rsidR="00141698" w:rsidRPr="005C0FA7">
        <w:rPr>
          <w:rFonts w:ascii="Times New Roman" w:hAnsi="Times New Roman"/>
          <w:bCs w:val="0"/>
          <w:szCs w:val="24"/>
          <w:lang w:val="es-ES"/>
        </w:rPr>
        <w:t xml:space="preserve">dministrativas y Direcciones Regionales de Educación. </w:t>
      </w:r>
    </w:p>
    <w:p w14:paraId="78A12249" w14:textId="77777777" w:rsidR="00141698" w:rsidRPr="005C0FA7" w:rsidRDefault="00141698" w:rsidP="008D3FC4">
      <w:pPr>
        <w:pStyle w:val="Textoindependiente"/>
        <w:widowControl w:val="0"/>
        <w:autoSpaceDE w:val="0"/>
        <w:autoSpaceDN w:val="0"/>
        <w:adjustRightInd w:val="0"/>
        <w:contextualSpacing/>
        <w:rPr>
          <w:rFonts w:ascii="Times New Roman" w:hAnsi="Times New Roman"/>
          <w:bCs w:val="0"/>
          <w:szCs w:val="24"/>
          <w:lang w:val="es-ES"/>
        </w:rPr>
      </w:pPr>
    </w:p>
    <w:p w14:paraId="58AD3C69" w14:textId="3AF356C7" w:rsidR="0045378C" w:rsidRDefault="00141698" w:rsidP="000E0D96">
      <w:pPr>
        <w:pStyle w:val="Textoindependiente"/>
        <w:widowControl w:val="0"/>
        <w:autoSpaceDE w:val="0"/>
        <w:autoSpaceDN w:val="0"/>
        <w:adjustRightInd w:val="0"/>
        <w:contextualSpacing/>
        <w:rPr>
          <w:rFonts w:ascii="Times New Roman" w:hAnsi="Times New Roman"/>
          <w:bCs w:val="0"/>
          <w:szCs w:val="24"/>
          <w:lang w:val="es-ES"/>
        </w:rPr>
      </w:pPr>
      <w:r w:rsidRPr="005C0FA7">
        <w:rPr>
          <w:rFonts w:ascii="Times New Roman" w:hAnsi="Times New Roman"/>
          <w:bCs w:val="0"/>
          <w:szCs w:val="24"/>
          <w:lang w:val="es-ES"/>
        </w:rPr>
        <w:t xml:space="preserve">Por último indicar </w:t>
      </w:r>
      <w:r w:rsidR="0073436E" w:rsidRPr="005C0FA7">
        <w:rPr>
          <w:rFonts w:ascii="Times New Roman" w:hAnsi="Times New Roman"/>
          <w:bCs w:val="0"/>
          <w:szCs w:val="24"/>
          <w:lang w:val="es-ES"/>
        </w:rPr>
        <w:t>que, como producto de la evaluación efectuada, la Auditor</w:t>
      </w:r>
      <w:r w:rsidR="00F9081B" w:rsidRPr="005C0FA7">
        <w:rPr>
          <w:rFonts w:ascii="Times New Roman" w:hAnsi="Times New Roman"/>
          <w:bCs w:val="0"/>
          <w:szCs w:val="24"/>
          <w:lang w:val="es-ES"/>
        </w:rPr>
        <w:t>í</w:t>
      </w:r>
      <w:r w:rsidR="0073436E" w:rsidRPr="005C0FA7">
        <w:rPr>
          <w:rFonts w:ascii="Times New Roman" w:hAnsi="Times New Roman"/>
          <w:bCs w:val="0"/>
          <w:szCs w:val="24"/>
          <w:lang w:val="es-ES"/>
        </w:rPr>
        <w:t xml:space="preserve">a Interna procedió a emitir </w:t>
      </w:r>
      <w:r w:rsidRPr="005C0FA7">
        <w:rPr>
          <w:rFonts w:ascii="Times New Roman" w:hAnsi="Times New Roman"/>
          <w:bCs w:val="0"/>
          <w:szCs w:val="24"/>
          <w:lang w:val="es-ES"/>
        </w:rPr>
        <w:t>dos</w:t>
      </w:r>
      <w:r w:rsidR="00D82982" w:rsidRPr="005C0FA7">
        <w:rPr>
          <w:rFonts w:ascii="Times New Roman" w:hAnsi="Times New Roman"/>
          <w:bCs w:val="0"/>
          <w:szCs w:val="24"/>
          <w:lang w:val="es-ES"/>
        </w:rPr>
        <w:t xml:space="preserve"> oficios de</w:t>
      </w:r>
      <w:r w:rsidRPr="005C0FA7">
        <w:rPr>
          <w:rFonts w:ascii="Times New Roman" w:hAnsi="Times New Roman"/>
          <w:bCs w:val="0"/>
          <w:szCs w:val="24"/>
          <w:lang w:val="es-ES"/>
        </w:rPr>
        <w:t xml:space="preserve"> </w:t>
      </w:r>
      <w:r w:rsidR="0073436E" w:rsidRPr="005C0FA7">
        <w:rPr>
          <w:rFonts w:ascii="Times New Roman" w:hAnsi="Times New Roman"/>
          <w:bCs w:val="0"/>
          <w:szCs w:val="24"/>
          <w:lang w:val="es-ES"/>
        </w:rPr>
        <w:t>advertencia. Por un lado,</w:t>
      </w:r>
      <w:r w:rsidRPr="005C0FA7">
        <w:rPr>
          <w:rFonts w:ascii="Times New Roman" w:hAnsi="Times New Roman"/>
          <w:bCs w:val="0"/>
          <w:szCs w:val="24"/>
          <w:lang w:val="es-ES"/>
        </w:rPr>
        <w:t xml:space="preserve"> </w:t>
      </w:r>
      <w:r w:rsidR="0045378C" w:rsidRPr="005C0FA7">
        <w:rPr>
          <w:rFonts w:ascii="Times New Roman" w:hAnsi="Times New Roman"/>
          <w:bCs w:val="0"/>
          <w:szCs w:val="24"/>
          <w:lang w:val="es-ES"/>
        </w:rPr>
        <w:t xml:space="preserve">mediante </w:t>
      </w:r>
      <w:r w:rsidR="0073436E">
        <w:rPr>
          <w:rFonts w:ascii="Times New Roman" w:hAnsi="Times New Roman"/>
          <w:bCs w:val="0"/>
          <w:szCs w:val="24"/>
          <w:lang w:val="es-ES"/>
        </w:rPr>
        <w:t>el</w:t>
      </w:r>
      <w:r>
        <w:rPr>
          <w:rFonts w:ascii="Times New Roman" w:hAnsi="Times New Roman"/>
          <w:bCs w:val="0"/>
          <w:szCs w:val="24"/>
          <w:lang w:val="es-ES"/>
        </w:rPr>
        <w:t xml:space="preserve"> oficio </w:t>
      </w:r>
      <w:r w:rsidRPr="0073436E">
        <w:rPr>
          <w:rFonts w:ascii="Times New Roman" w:hAnsi="Times New Roman"/>
          <w:bCs w:val="0"/>
          <w:szCs w:val="24"/>
          <w:lang w:val="es-ES"/>
        </w:rPr>
        <w:t>AI-1397-17 del 20 de setiembre de 2017</w:t>
      </w:r>
      <w:r w:rsidR="0073436E">
        <w:rPr>
          <w:rFonts w:ascii="Times New Roman" w:hAnsi="Times New Roman"/>
          <w:bCs w:val="0"/>
          <w:szCs w:val="24"/>
          <w:lang w:val="es-ES"/>
        </w:rPr>
        <w:t xml:space="preserve">, </w:t>
      </w:r>
      <w:r w:rsidR="0073436E" w:rsidRPr="0073436E">
        <w:rPr>
          <w:rFonts w:ascii="Times New Roman" w:hAnsi="Times New Roman"/>
          <w:bCs w:val="0"/>
          <w:szCs w:val="24"/>
          <w:lang w:val="es-ES"/>
        </w:rPr>
        <w:t xml:space="preserve">se le instruye </w:t>
      </w:r>
      <w:r w:rsidR="00036AE8" w:rsidRPr="00036AE8">
        <w:rPr>
          <w:rFonts w:ascii="Times New Roman" w:hAnsi="Times New Roman"/>
          <w:bCs w:val="0"/>
          <w:szCs w:val="24"/>
          <w:lang w:val="es-ES"/>
        </w:rPr>
        <w:t>al entonces Viceministro Administrativo</w:t>
      </w:r>
      <w:r w:rsidR="00036AE8" w:rsidRPr="0073436E">
        <w:rPr>
          <w:rFonts w:ascii="Times New Roman" w:hAnsi="Times New Roman"/>
          <w:bCs w:val="0"/>
          <w:szCs w:val="24"/>
          <w:lang w:val="es-ES"/>
        </w:rPr>
        <w:t xml:space="preserve"> </w:t>
      </w:r>
      <w:r w:rsidR="0073436E" w:rsidRPr="0073436E">
        <w:rPr>
          <w:rFonts w:ascii="Times New Roman" w:hAnsi="Times New Roman"/>
          <w:bCs w:val="0"/>
          <w:szCs w:val="24"/>
          <w:lang w:val="es-ES"/>
        </w:rPr>
        <w:t>establecer y adoptar las medidas necesarias institucionales, a fin de alinear la funcionabilidad organizativa de la DPE en el marco del Decreto 38170, o bien, proceder con el trámite de la creación de la Unidad de Control Estratégico (UCE) según lo dicta l</w:t>
      </w:r>
      <w:r w:rsidR="007E4547">
        <w:rPr>
          <w:rFonts w:ascii="Times New Roman" w:hAnsi="Times New Roman"/>
          <w:bCs w:val="0"/>
          <w:szCs w:val="24"/>
          <w:lang w:val="es-ES"/>
        </w:rPr>
        <w:t xml:space="preserve">a normativa. Esto </w:t>
      </w:r>
      <w:r w:rsidR="0073436E" w:rsidRPr="0073436E">
        <w:rPr>
          <w:rFonts w:ascii="Times New Roman" w:hAnsi="Times New Roman"/>
          <w:bCs w:val="0"/>
          <w:szCs w:val="24"/>
          <w:lang w:val="es-ES"/>
        </w:rPr>
        <w:t xml:space="preserve">por </w:t>
      </w:r>
      <w:r w:rsidR="00DC246B">
        <w:rPr>
          <w:rFonts w:ascii="Times New Roman" w:hAnsi="Times New Roman"/>
          <w:bCs w:val="0"/>
          <w:szCs w:val="24"/>
          <w:lang w:val="es-ES"/>
        </w:rPr>
        <w:t>cuanto</w:t>
      </w:r>
      <w:r w:rsidR="0073436E" w:rsidRPr="0073436E">
        <w:rPr>
          <w:rFonts w:ascii="Times New Roman" w:hAnsi="Times New Roman"/>
          <w:bCs w:val="0"/>
          <w:szCs w:val="24"/>
          <w:lang w:val="es-ES"/>
        </w:rPr>
        <w:t xml:space="preserve"> dicha Unidad</w:t>
      </w:r>
      <w:r w:rsidR="007E4547">
        <w:rPr>
          <w:rFonts w:ascii="Times New Roman" w:hAnsi="Times New Roman"/>
          <w:bCs w:val="0"/>
          <w:szCs w:val="24"/>
          <w:lang w:val="es-ES"/>
        </w:rPr>
        <w:t>,</w:t>
      </w:r>
      <w:r w:rsidR="0073436E" w:rsidRPr="0073436E">
        <w:rPr>
          <w:rFonts w:ascii="Times New Roman" w:hAnsi="Times New Roman"/>
          <w:bCs w:val="0"/>
          <w:szCs w:val="24"/>
          <w:lang w:val="es-ES"/>
        </w:rPr>
        <w:t xml:space="preserve"> al momento de</w:t>
      </w:r>
      <w:r w:rsidR="00081EDE">
        <w:rPr>
          <w:rFonts w:ascii="Times New Roman" w:hAnsi="Times New Roman"/>
          <w:bCs w:val="0"/>
          <w:szCs w:val="24"/>
          <w:lang w:val="es-ES"/>
        </w:rPr>
        <w:t>l</w:t>
      </w:r>
      <w:r w:rsidR="0073436E" w:rsidRPr="0073436E">
        <w:rPr>
          <w:rFonts w:ascii="Times New Roman" w:hAnsi="Times New Roman"/>
          <w:bCs w:val="0"/>
          <w:szCs w:val="24"/>
          <w:lang w:val="es-ES"/>
        </w:rPr>
        <w:t xml:space="preserve"> </w:t>
      </w:r>
      <w:r w:rsidR="0073436E">
        <w:rPr>
          <w:rFonts w:ascii="Times New Roman" w:hAnsi="Times New Roman"/>
          <w:bCs w:val="0"/>
          <w:szCs w:val="24"/>
          <w:lang w:val="es-ES"/>
        </w:rPr>
        <w:t>estudio</w:t>
      </w:r>
      <w:r w:rsidR="007E4547">
        <w:rPr>
          <w:rFonts w:ascii="Times New Roman" w:hAnsi="Times New Roman"/>
          <w:bCs w:val="0"/>
          <w:szCs w:val="24"/>
          <w:lang w:val="es-ES"/>
        </w:rPr>
        <w:t>,</w:t>
      </w:r>
      <w:r w:rsidR="0073436E">
        <w:rPr>
          <w:rFonts w:ascii="Times New Roman" w:hAnsi="Times New Roman"/>
          <w:bCs w:val="0"/>
          <w:szCs w:val="24"/>
          <w:lang w:val="es-ES"/>
        </w:rPr>
        <w:t xml:space="preserve"> se encontraba</w:t>
      </w:r>
      <w:r w:rsidR="0073436E" w:rsidRPr="0073436E">
        <w:rPr>
          <w:rFonts w:ascii="Times New Roman" w:hAnsi="Times New Roman"/>
          <w:bCs w:val="0"/>
          <w:szCs w:val="24"/>
          <w:lang w:val="es-ES"/>
        </w:rPr>
        <w:t xml:space="preserve"> operando al margen de la Ley</w:t>
      </w:r>
      <w:r w:rsidR="007E4547">
        <w:rPr>
          <w:rFonts w:ascii="Times New Roman" w:hAnsi="Times New Roman"/>
          <w:bCs w:val="0"/>
          <w:szCs w:val="24"/>
          <w:lang w:val="es-ES"/>
        </w:rPr>
        <w:t>, y</w:t>
      </w:r>
      <w:r w:rsidR="0073436E" w:rsidRPr="0073436E">
        <w:rPr>
          <w:rFonts w:ascii="Times New Roman" w:hAnsi="Times New Roman"/>
          <w:bCs w:val="0"/>
          <w:szCs w:val="24"/>
          <w:lang w:val="es-ES"/>
        </w:rPr>
        <w:t>a que no forma part</w:t>
      </w:r>
      <w:r w:rsidR="0073436E">
        <w:rPr>
          <w:rFonts w:ascii="Times New Roman" w:hAnsi="Times New Roman"/>
          <w:bCs w:val="0"/>
          <w:szCs w:val="24"/>
          <w:lang w:val="es-ES"/>
        </w:rPr>
        <w:t>e de su estructura organizativa.</w:t>
      </w:r>
    </w:p>
    <w:p w14:paraId="08F36595" w14:textId="77777777" w:rsidR="0045378C" w:rsidRDefault="0045378C" w:rsidP="000E0D96">
      <w:pPr>
        <w:pStyle w:val="Textoindependiente"/>
        <w:widowControl w:val="0"/>
        <w:autoSpaceDE w:val="0"/>
        <w:autoSpaceDN w:val="0"/>
        <w:adjustRightInd w:val="0"/>
        <w:contextualSpacing/>
        <w:rPr>
          <w:rFonts w:ascii="Times New Roman" w:hAnsi="Times New Roman"/>
          <w:bCs w:val="0"/>
          <w:szCs w:val="24"/>
          <w:lang w:val="es-ES"/>
        </w:rPr>
      </w:pPr>
    </w:p>
    <w:p w14:paraId="7C8CCC02" w14:textId="77777777" w:rsidR="00E65DBA" w:rsidRPr="008F5244" w:rsidRDefault="0073436E" w:rsidP="000E0D96">
      <w:pPr>
        <w:pStyle w:val="Textoindependiente"/>
        <w:widowControl w:val="0"/>
        <w:autoSpaceDE w:val="0"/>
        <w:autoSpaceDN w:val="0"/>
        <w:adjustRightInd w:val="0"/>
        <w:contextualSpacing/>
        <w:rPr>
          <w:bCs w:val="0"/>
        </w:rPr>
      </w:pPr>
      <w:r>
        <w:rPr>
          <w:rFonts w:ascii="Times New Roman" w:hAnsi="Times New Roman"/>
          <w:bCs w:val="0"/>
          <w:szCs w:val="24"/>
          <w:lang w:val="es-ES"/>
        </w:rPr>
        <w:t>Y por otro</w:t>
      </w:r>
      <w:r w:rsidR="0045378C">
        <w:rPr>
          <w:rFonts w:ascii="Times New Roman" w:hAnsi="Times New Roman"/>
          <w:bCs w:val="0"/>
          <w:szCs w:val="24"/>
          <w:lang w:val="es-ES"/>
        </w:rPr>
        <w:t xml:space="preserve"> lado</w:t>
      </w:r>
      <w:r>
        <w:rPr>
          <w:rFonts w:ascii="Times New Roman" w:hAnsi="Times New Roman"/>
          <w:bCs w:val="0"/>
          <w:szCs w:val="24"/>
          <w:lang w:val="es-ES"/>
        </w:rPr>
        <w:t xml:space="preserve">, </w:t>
      </w:r>
      <w:r w:rsidR="0045378C">
        <w:rPr>
          <w:rFonts w:ascii="Times New Roman" w:hAnsi="Times New Roman"/>
          <w:bCs w:val="0"/>
          <w:szCs w:val="24"/>
          <w:lang w:val="es-ES"/>
        </w:rPr>
        <w:t>l</w:t>
      </w:r>
      <w:r>
        <w:rPr>
          <w:rFonts w:ascii="Times New Roman" w:hAnsi="Times New Roman"/>
          <w:bCs w:val="0"/>
          <w:szCs w:val="24"/>
          <w:lang w:val="es-ES"/>
        </w:rPr>
        <w:t xml:space="preserve">a </w:t>
      </w:r>
      <w:r w:rsidR="0045378C">
        <w:rPr>
          <w:rFonts w:ascii="Times New Roman" w:hAnsi="Times New Roman"/>
          <w:bCs w:val="0"/>
          <w:szCs w:val="24"/>
          <w:lang w:val="es-ES"/>
        </w:rPr>
        <w:t xml:space="preserve">advertencia a </w:t>
      </w:r>
      <w:r>
        <w:rPr>
          <w:rFonts w:ascii="Times New Roman" w:hAnsi="Times New Roman"/>
          <w:bCs w:val="0"/>
          <w:szCs w:val="24"/>
          <w:lang w:val="es-ES"/>
        </w:rPr>
        <w:t xml:space="preserve">través del oficio </w:t>
      </w:r>
      <w:r w:rsidRPr="0073436E">
        <w:rPr>
          <w:rFonts w:ascii="Times New Roman" w:hAnsi="Times New Roman"/>
          <w:bCs w:val="0"/>
          <w:szCs w:val="24"/>
          <w:lang w:val="es-ES"/>
        </w:rPr>
        <w:t>AI-1473-17 del 26 de setiembre de 2017</w:t>
      </w:r>
      <w:r>
        <w:rPr>
          <w:rFonts w:ascii="Times New Roman" w:hAnsi="Times New Roman"/>
          <w:bCs w:val="0"/>
          <w:szCs w:val="24"/>
          <w:lang w:val="es-ES"/>
        </w:rPr>
        <w:t xml:space="preserve">, en donde se </w:t>
      </w:r>
      <w:r w:rsidR="00036AE8">
        <w:rPr>
          <w:rFonts w:ascii="Times New Roman" w:hAnsi="Times New Roman"/>
          <w:bCs w:val="0"/>
          <w:szCs w:val="24"/>
          <w:lang w:val="es-ES"/>
        </w:rPr>
        <w:t xml:space="preserve">le indica a la </w:t>
      </w:r>
      <w:r w:rsidR="00036AE8" w:rsidRPr="00036AE8">
        <w:rPr>
          <w:rFonts w:ascii="Times New Roman" w:hAnsi="Times New Roman"/>
          <w:bCs w:val="0"/>
          <w:szCs w:val="24"/>
          <w:lang w:val="es-ES"/>
        </w:rPr>
        <w:t>Directora de Recursos Humanos</w:t>
      </w:r>
      <w:r w:rsidR="00036AE8">
        <w:rPr>
          <w:rFonts w:ascii="Times New Roman" w:hAnsi="Times New Roman"/>
          <w:bCs w:val="0"/>
          <w:szCs w:val="24"/>
          <w:lang w:val="es-ES"/>
        </w:rPr>
        <w:t>,</w:t>
      </w:r>
      <w:r>
        <w:rPr>
          <w:rFonts w:ascii="Times New Roman" w:hAnsi="Times New Roman"/>
          <w:bCs w:val="0"/>
          <w:szCs w:val="24"/>
          <w:lang w:val="es-ES"/>
        </w:rPr>
        <w:t xml:space="preserve"> establecer y adoptar medidas respecto</w:t>
      </w:r>
      <w:r w:rsidR="00167A4B">
        <w:rPr>
          <w:rFonts w:ascii="Times New Roman" w:hAnsi="Times New Roman"/>
          <w:bCs w:val="0"/>
          <w:szCs w:val="24"/>
          <w:lang w:val="es-ES"/>
        </w:rPr>
        <w:t xml:space="preserve"> a realizar un estudio técnico ocupacional y considerar implicaciones legales que podría generar el someter a concurso interno un </w:t>
      </w:r>
      <w:r w:rsidR="00167A4B" w:rsidRPr="000E0D96">
        <w:rPr>
          <w:rFonts w:ascii="Times New Roman" w:hAnsi="Times New Roman"/>
          <w:bCs w:val="0"/>
          <w:szCs w:val="24"/>
          <w:lang w:val="es-ES"/>
        </w:rPr>
        <w:t>puesto traslad</w:t>
      </w:r>
      <w:r w:rsidR="000E0D96" w:rsidRPr="000E0D96">
        <w:rPr>
          <w:rFonts w:ascii="Times New Roman" w:hAnsi="Times New Roman"/>
          <w:bCs w:val="0"/>
          <w:szCs w:val="24"/>
          <w:lang w:val="es-ES"/>
        </w:rPr>
        <w:t>ad</w:t>
      </w:r>
      <w:r w:rsidR="00167A4B" w:rsidRPr="000E0D96">
        <w:rPr>
          <w:rFonts w:ascii="Times New Roman" w:hAnsi="Times New Roman"/>
          <w:bCs w:val="0"/>
          <w:szCs w:val="24"/>
          <w:lang w:val="es-ES"/>
        </w:rPr>
        <w:t>o</w:t>
      </w:r>
      <w:r w:rsidR="00167A4B">
        <w:rPr>
          <w:rFonts w:ascii="Times New Roman" w:hAnsi="Times New Roman"/>
          <w:bCs w:val="0"/>
          <w:szCs w:val="24"/>
          <w:lang w:val="es-ES"/>
        </w:rPr>
        <w:t xml:space="preserve"> </w:t>
      </w:r>
      <w:r w:rsidR="000E0D96">
        <w:rPr>
          <w:rFonts w:ascii="Times New Roman" w:hAnsi="Times New Roman"/>
          <w:bCs w:val="0"/>
          <w:szCs w:val="24"/>
          <w:lang w:val="es-ES"/>
        </w:rPr>
        <w:t xml:space="preserve">al Departamento de Supervisión y Control de la DPE, </w:t>
      </w:r>
      <w:r w:rsidR="00167A4B">
        <w:rPr>
          <w:rFonts w:ascii="Times New Roman" w:hAnsi="Times New Roman"/>
          <w:bCs w:val="0"/>
          <w:szCs w:val="24"/>
          <w:lang w:val="es-ES"/>
        </w:rPr>
        <w:t xml:space="preserve">cuya especialidad </w:t>
      </w:r>
      <w:r w:rsidR="000E0D96">
        <w:rPr>
          <w:rFonts w:ascii="Times New Roman" w:hAnsi="Times New Roman"/>
          <w:bCs w:val="0"/>
          <w:szCs w:val="24"/>
          <w:lang w:val="es-ES"/>
        </w:rPr>
        <w:t xml:space="preserve">difiere </w:t>
      </w:r>
      <w:r w:rsidR="00167A4B">
        <w:rPr>
          <w:rFonts w:ascii="Times New Roman" w:hAnsi="Times New Roman"/>
          <w:bCs w:val="0"/>
          <w:szCs w:val="24"/>
          <w:lang w:val="es-ES"/>
        </w:rPr>
        <w:t xml:space="preserve">de las funciones </w:t>
      </w:r>
      <w:r w:rsidR="000E0D96">
        <w:rPr>
          <w:rFonts w:ascii="Times New Roman" w:hAnsi="Times New Roman"/>
          <w:bCs w:val="0"/>
          <w:szCs w:val="24"/>
          <w:lang w:val="es-ES"/>
        </w:rPr>
        <w:t>establecidas, según su estructura organizacional.</w:t>
      </w:r>
    </w:p>
    <w:p w14:paraId="407B627C" w14:textId="77777777" w:rsidR="00681E05" w:rsidRPr="008F5244" w:rsidRDefault="00681E05" w:rsidP="008D3FC4">
      <w:pPr>
        <w:pStyle w:val="Sinespaciado"/>
      </w:pPr>
    </w:p>
    <w:p w14:paraId="4407F5EF" w14:textId="77777777" w:rsidR="00A330D6" w:rsidRDefault="00A330D6" w:rsidP="00682401">
      <w:pPr>
        <w:jc w:val="both"/>
      </w:pPr>
    </w:p>
    <w:p w14:paraId="0072AC31" w14:textId="77777777" w:rsidR="00A330D6" w:rsidRDefault="00A330D6" w:rsidP="00682401">
      <w:pPr>
        <w:jc w:val="both"/>
      </w:pPr>
    </w:p>
    <w:p w14:paraId="4A448986" w14:textId="77777777" w:rsidR="00A330D6" w:rsidRDefault="00A330D6" w:rsidP="00682401">
      <w:pPr>
        <w:jc w:val="both"/>
      </w:pPr>
    </w:p>
    <w:p w14:paraId="587E0F54" w14:textId="7F0618A4" w:rsidR="00FF4D37" w:rsidRDefault="003C00B1" w:rsidP="00682401">
      <w:pPr>
        <w:jc w:val="both"/>
      </w:pPr>
      <w:r>
        <w:lastRenderedPageBreak/>
        <w:t>P</w:t>
      </w:r>
      <w:r w:rsidR="00F9081B">
        <w:t xml:space="preserve">or </w:t>
      </w:r>
      <w:r>
        <w:t>lo anterior</w:t>
      </w:r>
      <w:r w:rsidR="007E4547">
        <w:t>mente</w:t>
      </w:r>
      <w:r w:rsidR="00F9081B">
        <w:t xml:space="preserve"> mencionado</w:t>
      </w:r>
      <w:r w:rsidR="007E4547">
        <w:t>,</w:t>
      </w:r>
      <w:r>
        <w:t xml:space="preserve"> se le giraron una serie de recomendaciones a</w:t>
      </w:r>
      <w:r w:rsidR="007E4547">
        <w:t>: El Viceministerio</w:t>
      </w:r>
      <w:r w:rsidR="00682401" w:rsidRPr="00682401">
        <w:t xml:space="preserve"> de Planificación Institucional y Coordinación Regional</w:t>
      </w:r>
      <w:r w:rsidR="00682401">
        <w:t xml:space="preserve">, </w:t>
      </w:r>
      <w:r w:rsidR="007E4547">
        <w:t>Viceministrerio</w:t>
      </w:r>
      <w:r w:rsidR="00682401" w:rsidRPr="00682401">
        <w:t xml:space="preserve"> Administrativo</w:t>
      </w:r>
      <w:r w:rsidR="00682401">
        <w:t xml:space="preserve">, </w:t>
      </w:r>
      <w:r w:rsidR="00682401" w:rsidRPr="00682401">
        <w:t>Dirección Financiera</w:t>
      </w:r>
      <w:r w:rsidR="00682401">
        <w:t xml:space="preserve">, </w:t>
      </w:r>
      <w:r w:rsidR="00682401" w:rsidRPr="00682401">
        <w:t>Dirección de Recursos Humanos</w:t>
      </w:r>
      <w:r w:rsidR="00036AE8">
        <w:t xml:space="preserve">, </w:t>
      </w:r>
      <w:r w:rsidR="00036AE8" w:rsidRPr="00036AE8">
        <w:t>Dirección de Gestión y Desarrollo Regional</w:t>
      </w:r>
      <w:r w:rsidR="00682401">
        <w:t xml:space="preserve"> y </w:t>
      </w:r>
      <w:r>
        <w:t>al auditad</w:t>
      </w:r>
      <w:r w:rsidR="00682401">
        <w:t>o,</w:t>
      </w:r>
      <w:r>
        <w:t xml:space="preserve"> con el fin de que rectifiquen</w:t>
      </w:r>
      <w:r w:rsidR="00682401">
        <w:t xml:space="preserve"> y mitiguen</w:t>
      </w:r>
      <w:r>
        <w:t xml:space="preserve"> </w:t>
      </w:r>
      <w:r w:rsidR="00682401">
        <w:t xml:space="preserve">medidas pertinentes de control, de manera tal que se </w:t>
      </w:r>
      <w:r>
        <w:t xml:space="preserve">garantice </w:t>
      </w:r>
      <w:r w:rsidR="00682401">
        <w:t>una gestión competente</w:t>
      </w:r>
      <w:r>
        <w:t xml:space="preserve"> </w:t>
      </w:r>
      <w:r w:rsidR="00682401">
        <w:t xml:space="preserve">en sus </w:t>
      </w:r>
      <w:r w:rsidR="0045378C">
        <w:t xml:space="preserve">respectivos </w:t>
      </w:r>
      <w:r w:rsidR="00682401">
        <w:t xml:space="preserve">ámbitos de acción. </w:t>
      </w:r>
    </w:p>
    <w:p w14:paraId="771EF303" w14:textId="77777777" w:rsidR="00C1405A" w:rsidRDefault="00C1405A" w:rsidP="00682401">
      <w:pPr>
        <w:jc w:val="both"/>
      </w:pPr>
    </w:p>
    <w:p w14:paraId="795DB0B3" w14:textId="77777777" w:rsidR="00C1405A" w:rsidRDefault="00C1405A" w:rsidP="00682401">
      <w:pPr>
        <w:jc w:val="both"/>
      </w:pPr>
    </w:p>
    <w:p w14:paraId="1A50B18D" w14:textId="77777777" w:rsidR="00C1405A" w:rsidRDefault="00C1405A" w:rsidP="00682401">
      <w:pPr>
        <w:jc w:val="both"/>
      </w:pPr>
    </w:p>
    <w:p w14:paraId="24B81EB4" w14:textId="77777777" w:rsidR="00C1405A" w:rsidRDefault="00C1405A" w:rsidP="00682401">
      <w:pPr>
        <w:jc w:val="both"/>
      </w:pPr>
    </w:p>
    <w:p w14:paraId="467EA6DF" w14:textId="77777777" w:rsidR="00C1405A" w:rsidRDefault="00C1405A" w:rsidP="00682401">
      <w:pPr>
        <w:jc w:val="both"/>
      </w:pPr>
    </w:p>
    <w:p w14:paraId="03D49DCB" w14:textId="77777777" w:rsidR="00C1405A" w:rsidRDefault="00C1405A" w:rsidP="00682401">
      <w:pPr>
        <w:jc w:val="both"/>
      </w:pPr>
    </w:p>
    <w:p w14:paraId="0EB633FD" w14:textId="77777777" w:rsidR="00C1405A" w:rsidRDefault="00C1405A" w:rsidP="00682401">
      <w:pPr>
        <w:jc w:val="both"/>
      </w:pPr>
    </w:p>
    <w:p w14:paraId="7EF53012" w14:textId="77777777" w:rsidR="00C1405A" w:rsidRDefault="00C1405A" w:rsidP="00682401">
      <w:pPr>
        <w:jc w:val="both"/>
      </w:pPr>
    </w:p>
    <w:p w14:paraId="1F422777" w14:textId="77777777" w:rsidR="00C1405A" w:rsidRDefault="00C1405A" w:rsidP="00682401">
      <w:pPr>
        <w:jc w:val="both"/>
      </w:pPr>
    </w:p>
    <w:p w14:paraId="47F0BCB3" w14:textId="77777777" w:rsidR="00C1405A" w:rsidRDefault="00C1405A" w:rsidP="00682401">
      <w:pPr>
        <w:jc w:val="both"/>
      </w:pPr>
    </w:p>
    <w:p w14:paraId="7983E8E7" w14:textId="77777777" w:rsidR="00C1405A" w:rsidRDefault="00C1405A" w:rsidP="00682401">
      <w:pPr>
        <w:jc w:val="both"/>
      </w:pPr>
    </w:p>
    <w:p w14:paraId="548AE9DE" w14:textId="77777777" w:rsidR="00C1405A" w:rsidRDefault="00C1405A" w:rsidP="00682401">
      <w:pPr>
        <w:jc w:val="both"/>
      </w:pPr>
    </w:p>
    <w:p w14:paraId="703ABE8A" w14:textId="77777777" w:rsidR="00C1405A" w:rsidRDefault="00C1405A" w:rsidP="00682401">
      <w:pPr>
        <w:jc w:val="both"/>
      </w:pPr>
    </w:p>
    <w:p w14:paraId="18ACAC9F" w14:textId="77777777" w:rsidR="00C1405A" w:rsidRDefault="00C1405A" w:rsidP="00682401">
      <w:pPr>
        <w:jc w:val="both"/>
      </w:pPr>
    </w:p>
    <w:p w14:paraId="3367063C" w14:textId="77777777" w:rsidR="00C1405A" w:rsidRDefault="00C1405A" w:rsidP="00682401">
      <w:pPr>
        <w:jc w:val="both"/>
      </w:pPr>
    </w:p>
    <w:p w14:paraId="126707A9" w14:textId="77777777" w:rsidR="00C1405A" w:rsidRDefault="00C1405A" w:rsidP="00682401">
      <w:pPr>
        <w:jc w:val="both"/>
      </w:pPr>
    </w:p>
    <w:p w14:paraId="159DAC66" w14:textId="77777777" w:rsidR="00C1405A" w:rsidRDefault="00C1405A" w:rsidP="00682401">
      <w:pPr>
        <w:jc w:val="both"/>
      </w:pPr>
    </w:p>
    <w:p w14:paraId="5CEB7BE7" w14:textId="77777777" w:rsidR="00C1405A" w:rsidRDefault="00C1405A" w:rsidP="00682401">
      <w:pPr>
        <w:jc w:val="both"/>
      </w:pPr>
    </w:p>
    <w:p w14:paraId="50FD2542" w14:textId="77777777" w:rsidR="00C1405A" w:rsidRDefault="00C1405A" w:rsidP="00682401">
      <w:pPr>
        <w:jc w:val="both"/>
      </w:pPr>
    </w:p>
    <w:p w14:paraId="1A8B34BD" w14:textId="77777777" w:rsidR="00C1405A" w:rsidRDefault="00C1405A" w:rsidP="00682401">
      <w:pPr>
        <w:jc w:val="both"/>
      </w:pPr>
    </w:p>
    <w:p w14:paraId="6972EF61" w14:textId="77777777" w:rsidR="00C1405A" w:rsidRDefault="00C1405A" w:rsidP="00682401">
      <w:pPr>
        <w:jc w:val="both"/>
      </w:pPr>
    </w:p>
    <w:p w14:paraId="79564955" w14:textId="77777777" w:rsidR="00C1405A" w:rsidRDefault="00C1405A" w:rsidP="00682401">
      <w:pPr>
        <w:jc w:val="both"/>
      </w:pPr>
    </w:p>
    <w:p w14:paraId="7E482DB2" w14:textId="77777777" w:rsidR="00C1405A" w:rsidRDefault="00C1405A" w:rsidP="00682401">
      <w:pPr>
        <w:jc w:val="both"/>
      </w:pPr>
    </w:p>
    <w:p w14:paraId="320E148E" w14:textId="77777777" w:rsidR="00C1405A" w:rsidRDefault="00C1405A" w:rsidP="00682401">
      <w:pPr>
        <w:jc w:val="both"/>
      </w:pPr>
    </w:p>
    <w:p w14:paraId="61374E0C" w14:textId="77777777" w:rsidR="00C1405A" w:rsidRDefault="00C1405A" w:rsidP="00682401">
      <w:pPr>
        <w:jc w:val="both"/>
      </w:pPr>
    </w:p>
    <w:p w14:paraId="21BA009F" w14:textId="77777777" w:rsidR="00C1405A" w:rsidRDefault="00C1405A" w:rsidP="00682401">
      <w:pPr>
        <w:jc w:val="both"/>
      </w:pPr>
    </w:p>
    <w:p w14:paraId="77B69A91" w14:textId="77777777" w:rsidR="00C1405A" w:rsidRDefault="00C1405A" w:rsidP="00682401">
      <w:pPr>
        <w:jc w:val="both"/>
      </w:pPr>
    </w:p>
    <w:p w14:paraId="33549F78" w14:textId="77777777" w:rsidR="00C1405A" w:rsidRDefault="00C1405A" w:rsidP="00682401">
      <w:pPr>
        <w:jc w:val="both"/>
      </w:pPr>
    </w:p>
    <w:p w14:paraId="50767C8F" w14:textId="77777777" w:rsidR="00C1405A" w:rsidRDefault="00C1405A" w:rsidP="00682401">
      <w:pPr>
        <w:jc w:val="both"/>
      </w:pPr>
    </w:p>
    <w:p w14:paraId="6C955C1A" w14:textId="77777777" w:rsidR="00C1405A" w:rsidRDefault="00C1405A" w:rsidP="00682401">
      <w:pPr>
        <w:jc w:val="both"/>
      </w:pPr>
    </w:p>
    <w:p w14:paraId="38FB4FB3" w14:textId="77777777" w:rsidR="00C1405A" w:rsidRDefault="00C1405A" w:rsidP="00682401">
      <w:pPr>
        <w:jc w:val="both"/>
      </w:pPr>
    </w:p>
    <w:p w14:paraId="1C2D626B" w14:textId="77777777" w:rsidR="00C1405A" w:rsidRDefault="00C1405A" w:rsidP="00682401">
      <w:pPr>
        <w:jc w:val="both"/>
      </w:pPr>
    </w:p>
    <w:p w14:paraId="142554ED" w14:textId="77777777" w:rsidR="00C1405A" w:rsidRDefault="00C1405A" w:rsidP="00682401">
      <w:pPr>
        <w:jc w:val="both"/>
      </w:pPr>
    </w:p>
    <w:p w14:paraId="7737C875" w14:textId="77777777" w:rsidR="00C1405A" w:rsidRDefault="00C1405A" w:rsidP="00682401">
      <w:pPr>
        <w:jc w:val="both"/>
      </w:pPr>
    </w:p>
    <w:p w14:paraId="321231D5" w14:textId="77777777" w:rsidR="00C1405A" w:rsidRDefault="00C1405A" w:rsidP="00682401">
      <w:pPr>
        <w:jc w:val="both"/>
      </w:pPr>
    </w:p>
    <w:p w14:paraId="7F0E7FA2" w14:textId="77777777" w:rsidR="00C1405A" w:rsidRDefault="00C1405A" w:rsidP="00682401">
      <w:pPr>
        <w:jc w:val="both"/>
      </w:pPr>
    </w:p>
    <w:p w14:paraId="6A436016" w14:textId="77777777" w:rsidR="00C1405A" w:rsidRDefault="00C1405A" w:rsidP="00682401">
      <w:pPr>
        <w:jc w:val="both"/>
      </w:pPr>
    </w:p>
    <w:p w14:paraId="35CA1E1C" w14:textId="77777777" w:rsidR="00C1405A" w:rsidRDefault="00C1405A" w:rsidP="00682401">
      <w:pPr>
        <w:jc w:val="both"/>
      </w:pPr>
    </w:p>
    <w:p w14:paraId="25F710B9" w14:textId="77777777" w:rsidR="00DC246B" w:rsidRDefault="00DC246B" w:rsidP="00682401">
      <w:pPr>
        <w:jc w:val="both"/>
      </w:pPr>
    </w:p>
    <w:p w14:paraId="12495962" w14:textId="77777777" w:rsidR="00DC246B" w:rsidRDefault="00DC246B" w:rsidP="00682401">
      <w:pPr>
        <w:jc w:val="both"/>
      </w:pPr>
    </w:p>
    <w:p w14:paraId="22F6C5B7" w14:textId="77777777" w:rsidR="00DC246B" w:rsidRDefault="00DC246B" w:rsidP="00682401">
      <w:pPr>
        <w:jc w:val="both"/>
      </w:pPr>
    </w:p>
    <w:p w14:paraId="2ED24275" w14:textId="2BE82EA7" w:rsidR="00453D12" w:rsidRPr="007E4547" w:rsidRDefault="00453D12" w:rsidP="007E4547">
      <w:pPr>
        <w:pStyle w:val="Ttulo1"/>
        <w:rPr>
          <w:rFonts w:ascii="Times New Roman" w:hAnsi="Times New Roman" w:cs="Times New Roman"/>
          <w:b/>
          <w:color w:val="auto"/>
          <w:sz w:val="24"/>
          <w:szCs w:val="24"/>
        </w:rPr>
      </w:pPr>
      <w:bookmarkStart w:id="2" w:name="_Toc3552493"/>
      <w:r w:rsidRPr="00A330D6">
        <w:rPr>
          <w:rFonts w:ascii="Times New Roman" w:hAnsi="Times New Roman" w:cs="Times New Roman"/>
          <w:b/>
          <w:color w:val="auto"/>
          <w:sz w:val="24"/>
          <w:szCs w:val="24"/>
        </w:rPr>
        <w:lastRenderedPageBreak/>
        <w:t>1. INTRODUCCIÓN</w:t>
      </w:r>
      <w:bookmarkEnd w:id="2"/>
      <w:r w:rsidRPr="008F5244">
        <w:rPr>
          <w:b/>
        </w:rPr>
        <w:tab/>
      </w:r>
    </w:p>
    <w:p w14:paraId="534C5825" w14:textId="45424C0E" w:rsidR="00453D12" w:rsidRPr="00A330D6" w:rsidRDefault="00453D12" w:rsidP="00A330D6">
      <w:pPr>
        <w:pStyle w:val="Ttulo2"/>
        <w:numPr>
          <w:ilvl w:val="1"/>
          <w:numId w:val="21"/>
        </w:numPr>
        <w:rPr>
          <w:sz w:val="24"/>
          <w:szCs w:val="24"/>
        </w:rPr>
      </w:pPr>
      <w:bookmarkStart w:id="3" w:name="_Toc3552494"/>
      <w:r w:rsidRPr="00A330D6">
        <w:rPr>
          <w:sz w:val="24"/>
          <w:szCs w:val="24"/>
        </w:rPr>
        <w:t>Objetivo General</w:t>
      </w:r>
      <w:bookmarkEnd w:id="3"/>
    </w:p>
    <w:p w14:paraId="22A63DF7" w14:textId="27EC3634" w:rsidR="002B543C" w:rsidRPr="00985F05" w:rsidRDefault="00985F05" w:rsidP="00453D12">
      <w:pPr>
        <w:jc w:val="both"/>
      </w:pPr>
      <w:r>
        <w:t>Establecer y analizar cada uno de los beneficios otorgados a la población estudiantil a través de los Programas de Equidad.</w:t>
      </w:r>
    </w:p>
    <w:p w14:paraId="5EA3FDE0" w14:textId="77777777" w:rsidR="00453D12" w:rsidRPr="00A330D6" w:rsidRDefault="00453D12" w:rsidP="00A330D6">
      <w:pPr>
        <w:pStyle w:val="Ttulo2"/>
        <w:rPr>
          <w:sz w:val="24"/>
          <w:szCs w:val="24"/>
        </w:rPr>
      </w:pPr>
      <w:bookmarkStart w:id="4" w:name="_Toc3552495"/>
      <w:r w:rsidRPr="00A330D6">
        <w:rPr>
          <w:sz w:val="24"/>
          <w:szCs w:val="24"/>
        </w:rPr>
        <w:t>1.2 Alcance</w:t>
      </w:r>
      <w:bookmarkEnd w:id="4"/>
      <w:r w:rsidRPr="00A330D6">
        <w:rPr>
          <w:sz w:val="24"/>
          <w:szCs w:val="24"/>
        </w:rPr>
        <w:t xml:space="preserve"> </w:t>
      </w:r>
    </w:p>
    <w:p w14:paraId="067D8432" w14:textId="77777777" w:rsidR="00C259ED" w:rsidRPr="00304D96" w:rsidRDefault="00C259ED" w:rsidP="00C259ED">
      <w:pPr>
        <w:pStyle w:val="Textoindependiente2"/>
        <w:rPr>
          <w:rFonts w:eastAsiaTheme="minorHAnsi"/>
          <w:sz w:val="24"/>
          <w:lang w:eastAsia="en-US"/>
        </w:rPr>
      </w:pPr>
      <w:r w:rsidRPr="00304D96">
        <w:rPr>
          <w:rFonts w:eastAsiaTheme="minorHAnsi"/>
          <w:sz w:val="24"/>
          <w:lang w:eastAsia="en-US"/>
        </w:rPr>
        <w:t>El alcance del estudio comprendió el periodo 2016-2017, ampliándose en caso de ser necesario al año 2018.</w:t>
      </w:r>
    </w:p>
    <w:p w14:paraId="2D40D317" w14:textId="63ACB09B" w:rsidR="003C4561" w:rsidRPr="00A330D6" w:rsidRDefault="00453D12" w:rsidP="00A330D6">
      <w:pPr>
        <w:pStyle w:val="Ttulo2"/>
        <w:numPr>
          <w:ilvl w:val="1"/>
          <w:numId w:val="22"/>
        </w:numPr>
        <w:jc w:val="both"/>
        <w:rPr>
          <w:sz w:val="24"/>
          <w:szCs w:val="24"/>
        </w:rPr>
      </w:pPr>
      <w:bookmarkStart w:id="5" w:name="_Toc3552496"/>
      <w:r w:rsidRPr="00A330D6">
        <w:rPr>
          <w:sz w:val="24"/>
          <w:szCs w:val="24"/>
        </w:rPr>
        <w:t>Antecedentes</w:t>
      </w:r>
      <w:bookmarkEnd w:id="5"/>
      <w:r w:rsidRPr="00A330D6">
        <w:rPr>
          <w:sz w:val="24"/>
          <w:szCs w:val="24"/>
        </w:rPr>
        <w:t xml:space="preserve"> </w:t>
      </w:r>
    </w:p>
    <w:p w14:paraId="2AEEF106" w14:textId="77777777" w:rsidR="003C4561" w:rsidRPr="00304D96" w:rsidRDefault="005C3E16" w:rsidP="00304D96">
      <w:pPr>
        <w:pStyle w:val="Textoindependiente2"/>
        <w:rPr>
          <w:rFonts w:eastAsiaTheme="minorHAnsi"/>
          <w:sz w:val="24"/>
          <w:lang w:eastAsia="en-US"/>
        </w:rPr>
      </w:pPr>
      <w:r w:rsidRPr="00852C6C">
        <w:rPr>
          <w:rFonts w:eastAsiaTheme="minorHAnsi"/>
          <w:sz w:val="24"/>
          <w:lang w:eastAsia="en-US"/>
        </w:rPr>
        <w:t>En este estudio se</w:t>
      </w:r>
      <w:r w:rsidR="00C22370" w:rsidRPr="00852C6C">
        <w:rPr>
          <w:rFonts w:eastAsiaTheme="minorHAnsi"/>
          <w:sz w:val="24"/>
          <w:lang w:eastAsia="en-US"/>
        </w:rPr>
        <w:t xml:space="preserve"> enfocó en evaluar</w:t>
      </w:r>
      <w:r w:rsidRPr="00852C6C">
        <w:rPr>
          <w:rFonts w:eastAsiaTheme="minorHAnsi"/>
          <w:sz w:val="24"/>
          <w:lang w:eastAsia="en-US"/>
        </w:rPr>
        <w:t xml:space="preserve"> la estructura organizacional, funciones y las operaciones realizadas por la Di</w:t>
      </w:r>
      <w:r w:rsidR="00F3325B">
        <w:rPr>
          <w:rFonts w:eastAsiaTheme="minorHAnsi"/>
          <w:sz w:val="24"/>
          <w:lang w:eastAsia="en-US"/>
        </w:rPr>
        <w:t>rección de Programas de Equidad, en adelante DPE.</w:t>
      </w:r>
      <w:r w:rsidRPr="00304D96">
        <w:rPr>
          <w:rFonts w:eastAsiaTheme="minorHAnsi"/>
          <w:sz w:val="24"/>
          <w:lang w:eastAsia="en-US"/>
        </w:rPr>
        <w:t xml:space="preserve"> </w:t>
      </w:r>
    </w:p>
    <w:p w14:paraId="63516A4D" w14:textId="77777777" w:rsidR="00F97470" w:rsidRPr="00A330D6" w:rsidRDefault="00A15538" w:rsidP="00A330D6">
      <w:pPr>
        <w:pStyle w:val="Ttulo2"/>
        <w:jc w:val="both"/>
        <w:rPr>
          <w:sz w:val="24"/>
          <w:szCs w:val="24"/>
        </w:rPr>
      </w:pPr>
      <w:bookmarkStart w:id="6" w:name="_Toc3552497"/>
      <w:r w:rsidRPr="00A330D6">
        <w:rPr>
          <w:sz w:val="24"/>
          <w:szCs w:val="24"/>
        </w:rPr>
        <w:t>1.4 Limitaciones</w:t>
      </w:r>
      <w:bookmarkEnd w:id="6"/>
    </w:p>
    <w:p w14:paraId="404992D1" w14:textId="77777777" w:rsidR="00304D96" w:rsidRPr="00304D96" w:rsidRDefault="00304D96" w:rsidP="00304D96">
      <w:pPr>
        <w:jc w:val="both"/>
        <w:rPr>
          <w:rFonts w:eastAsiaTheme="minorHAnsi"/>
          <w:lang w:eastAsia="en-US"/>
        </w:rPr>
      </w:pPr>
      <w:r w:rsidRPr="00304D96">
        <w:rPr>
          <w:rFonts w:eastAsiaTheme="minorHAnsi"/>
          <w:lang w:eastAsia="en-US"/>
        </w:rPr>
        <w:t>Las limitaciones se presentaron en la consecución ágil de</w:t>
      </w:r>
      <w:r>
        <w:rPr>
          <w:rFonts w:eastAsiaTheme="minorHAnsi"/>
          <w:lang w:eastAsia="en-US"/>
        </w:rPr>
        <w:t xml:space="preserve"> la</w:t>
      </w:r>
      <w:r w:rsidRPr="00304D96">
        <w:rPr>
          <w:rFonts w:eastAsiaTheme="minorHAnsi"/>
          <w:lang w:eastAsia="en-US"/>
        </w:rPr>
        <w:t xml:space="preserve"> información solicitada sobre aspectos de interés específico, cuya respuesta en distintos casos excedió</w:t>
      </w:r>
      <w:r>
        <w:rPr>
          <w:rFonts w:eastAsiaTheme="minorHAnsi"/>
          <w:lang w:eastAsia="en-US"/>
        </w:rPr>
        <w:t xml:space="preserve"> </w:t>
      </w:r>
      <w:r w:rsidRPr="00304D96">
        <w:rPr>
          <w:rFonts w:eastAsiaTheme="minorHAnsi"/>
          <w:lang w:eastAsia="en-US"/>
        </w:rPr>
        <w:t xml:space="preserve">los plazos razonablemente fijados, con el agravante de tener que dedicar, injustificadamente, recursos adicionales para el envío de recordatorios. </w:t>
      </w:r>
    </w:p>
    <w:p w14:paraId="4261A3A6" w14:textId="77777777" w:rsidR="00453D12" w:rsidRPr="00A330D6" w:rsidRDefault="00453D12" w:rsidP="00A330D6">
      <w:pPr>
        <w:pStyle w:val="Ttulo1"/>
        <w:rPr>
          <w:rFonts w:ascii="Times New Roman" w:hAnsi="Times New Roman" w:cs="Times New Roman"/>
          <w:b/>
          <w:color w:val="auto"/>
          <w:sz w:val="24"/>
          <w:szCs w:val="24"/>
        </w:rPr>
      </w:pPr>
      <w:bookmarkStart w:id="7" w:name="_Toc3552498"/>
      <w:r w:rsidRPr="00A330D6">
        <w:rPr>
          <w:rFonts w:ascii="Times New Roman" w:hAnsi="Times New Roman" w:cs="Times New Roman"/>
          <w:b/>
          <w:color w:val="auto"/>
          <w:sz w:val="24"/>
          <w:szCs w:val="24"/>
        </w:rPr>
        <w:t>2. HALLAZGOS</w:t>
      </w:r>
      <w:bookmarkEnd w:id="7"/>
      <w:r w:rsidRPr="00A330D6">
        <w:rPr>
          <w:rFonts w:ascii="Times New Roman" w:hAnsi="Times New Roman" w:cs="Times New Roman"/>
          <w:b/>
          <w:color w:val="auto"/>
          <w:sz w:val="24"/>
          <w:szCs w:val="24"/>
        </w:rPr>
        <w:t xml:space="preserve">  </w:t>
      </w:r>
    </w:p>
    <w:p w14:paraId="635FDEBB" w14:textId="77777777" w:rsidR="00C862A8" w:rsidRPr="00DF7EF8" w:rsidRDefault="00C862A8" w:rsidP="00DF7EF8">
      <w:pPr>
        <w:pStyle w:val="Ttulo2"/>
        <w:jc w:val="both"/>
        <w:rPr>
          <w:sz w:val="24"/>
          <w:szCs w:val="24"/>
        </w:rPr>
      </w:pPr>
      <w:bookmarkStart w:id="8" w:name="_Toc3552499"/>
      <w:r w:rsidRPr="00DF7EF8">
        <w:rPr>
          <w:sz w:val="24"/>
          <w:szCs w:val="24"/>
        </w:rPr>
        <w:t xml:space="preserve">2.1 </w:t>
      </w:r>
      <w:r w:rsidR="00A209EA" w:rsidRPr="00DF7EF8">
        <w:rPr>
          <w:sz w:val="24"/>
          <w:szCs w:val="24"/>
        </w:rPr>
        <w:t>Ausencia de procedimiento para incorporar recursos reintegrados a la Caja Única del Estado al presupuesto ordinario del MEP</w:t>
      </w:r>
      <w:bookmarkEnd w:id="8"/>
    </w:p>
    <w:p w14:paraId="7C5C6B2A" w14:textId="77777777" w:rsidR="00A209EA" w:rsidRPr="00546EB1" w:rsidRDefault="00A209EA" w:rsidP="00A209EA">
      <w:pPr>
        <w:pStyle w:val="Prrafodelista"/>
        <w:tabs>
          <w:tab w:val="left" w:pos="284"/>
        </w:tabs>
        <w:autoSpaceDE w:val="0"/>
        <w:autoSpaceDN w:val="0"/>
        <w:adjustRightInd w:val="0"/>
        <w:spacing w:line="240" w:lineRule="auto"/>
        <w:ind w:left="0"/>
        <w:jc w:val="both"/>
        <w:rPr>
          <w:rFonts w:ascii="Times New Roman" w:eastAsia="Times New Roman" w:hAnsi="Times New Roman" w:cs="Times New Roman"/>
          <w:sz w:val="24"/>
          <w:szCs w:val="24"/>
          <w:lang w:val="es-CR" w:eastAsia="es-ES"/>
        </w:rPr>
      </w:pPr>
      <w:r w:rsidRPr="00546EB1">
        <w:rPr>
          <w:rFonts w:ascii="Times New Roman" w:eastAsia="Times New Roman" w:hAnsi="Times New Roman" w:cs="Times New Roman"/>
          <w:sz w:val="24"/>
          <w:szCs w:val="24"/>
          <w:lang w:val="es-CR" w:eastAsia="es-ES"/>
        </w:rPr>
        <w:t>Mediante Circular DPE-104-2016, del 19 de febrero de 2016, “</w:t>
      </w:r>
      <w:r w:rsidRPr="00546EB1">
        <w:rPr>
          <w:rFonts w:ascii="Times New Roman" w:eastAsia="Times New Roman" w:hAnsi="Times New Roman" w:cs="Times New Roman"/>
          <w:i/>
          <w:sz w:val="24"/>
          <w:szCs w:val="24"/>
          <w:lang w:val="es-CR" w:eastAsia="es-ES"/>
        </w:rPr>
        <w:t>Recursos transferidos por la Dirección de Programas de Equidad que no</w:t>
      </w:r>
      <w:r w:rsidRPr="00122E67">
        <w:rPr>
          <w:rFonts w:ascii="Times New Roman" w:eastAsia="Times New Roman" w:hAnsi="Times New Roman" w:cs="Times New Roman"/>
          <w:i/>
          <w:sz w:val="24"/>
          <w:szCs w:val="24"/>
          <w:lang w:val="es-CR" w:eastAsia="es-ES"/>
        </w:rPr>
        <w:t xml:space="preserve"> fueron ejecutados y no están comprometidos al 31 de diciembre de 2015”</w:t>
      </w:r>
      <w:r w:rsidR="00122E67">
        <w:rPr>
          <w:rFonts w:ascii="Times New Roman" w:eastAsia="Times New Roman" w:hAnsi="Times New Roman" w:cs="Times New Roman"/>
          <w:i/>
          <w:sz w:val="24"/>
          <w:szCs w:val="24"/>
          <w:lang w:val="es-CR" w:eastAsia="es-ES"/>
        </w:rPr>
        <w:t>.</w:t>
      </w:r>
      <w:r w:rsidR="00122E67">
        <w:rPr>
          <w:rFonts w:ascii="Times New Roman" w:eastAsia="Times New Roman" w:hAnsi="Times New Roman" w:cs="Times New Roman"/>
          <w:sz w:val="24"/>
          <w:szCs w:val="24"/>
          <w:lang w:val="es-CR" w:eastAsia="es-ES"/>
        </w:rPr>
        <w:t xml:space="preserve"> L</w:t>
      </w:r>
      <w:r w:rsidRPr="00122E67">
        <w:rPr>
          <w:rFonts w:ascii="Times New Roman" w:eastAsia="Times New Roman" w:hAnsi="Times New Roman" w:cs="Times New Roman"/>
          <w:sz w:val="24"/>
          <w:szCs w:val="24"/>
          <w:lang w:val="es-CR" w:eastAsia="es-ES"/>
        </w:rPr>
        <w:t xml:space="preserve">a Dirección Programas de Equidad </w:t>
      </w:r>
      <w:r w:rsidR="00122E67">
        <w:rPr>
          <w:rFonts w:ascii="Times New Roman" w:eastAsia="Times New Roman" w:hAnsi="Times New Roman" w:cs="Times New Roman"/>
          <w:sz w:val="24"/>
          <w:szCs w:val="24"/>
          <w:lang w:val="es-CR" w:eastAsia="es-ES"/>
        </w:rPr>
        <w:t>les</w:t>
      </w:r>
      <w:r w:rsidRPr="00122E67">
        <w:rPr>
          <w:rFonts w:ascii="Times New Roman" w:eastAsia="Times New Roman" w:hAnsi="Times New Roman" w:cs="Times New Roman"/>
          <w:sz w:val="24"/>
          <w:szCs w:val="24"/>
          <w:lang w:val="es-CR" w:eastAsia="es-ES"/>
        </w:rPr>
        <w:t xml:space="preserve"> solicita entre otros, a los </w:t>
      </w:r>
      <w:r w:rsidRPr="00546EB1">
        <w:rPr>
          <w:rFonts w:ascii="Times New Roman" w:eastAsia="Times New Roman" w:hAnsi="Times New Roman" w:cs="Times New Roman"/>
          <w:sz w:val="24"/>
          <w:szCs w:val="24"/>
          <w:lang w:val="es-CR" w:eastAsia="es-ES"/>
        </w:rPr>
        <w:t xml:space="preserve">Directores Regionales, Jefes de </w:t>
      </w:r>
      <w:r w:rsidR="00391D05" w:rsidRPr="00546EB1">
        <w:rPr>
          <w:rFonts w:ascii="Times New Roman" w:eastAsia="Times New Roman" w:hAnsi="Times New Roman" w:cs="Times New Roman"/>
          <w:sz w:val="24"/>
          <w:szCs w:val="24"/>
          <w:lang w:val="es-CR" w:eastAsia="es-ES"/>
        </w:rPr>
        <w:t>Servicios</w:t>
      </w:r>
      <w:r w:rsidRPr="00546EB1">
        <w:rPr>
          <w:rFonts w:ascii="Times New Roman" w:eastAsia="Times New Roman" w:hAnsi="Times New Roman" w:cs="Times New Roman"/>
          <w:sz w:val="24"/>
          <w:szCs w:val="24"/>
          <w:lang w:val="es-CR" w:eastAsia="es-ES"/>
        </w:rPr>
        <w:t xml:space="preserve"> Administrativos y Financieros, Juntas de Educación y Juntas Administrativas, presentar una certificación del Tesorero-Contador que detalle los recursos que no fueron ejecutados y no están comprometidos al 31 de diciembre de 2015.</w:t>
      </w:r>
    </w:p>
    <w:p w14:paraId="00881961" w14:textId="77777777" w:rsidR="00A209EA" w:rsidRPr="00546EB1" w:rsidRDefault="00A209EA" w:rsidP="00A209EA">
      <w:pPr>
        <w:pStyle w:val="Default"/>
        <w:jc w:val="both"/>
        <w:rPr>
          <w:rFonts w:ascii="Times New Roman" w:hAnsi="Times New Roman" w:cs="Times New Roman"/>
          <w:color w:val="auto"/>
        </w:rPr>
      </w:pPr>
      <w:r w:rsidRPr="00546EB1">
        <w:rPr>
          <w:rFonts w:ascii="Times New Roman" w:hAnsi="Times New Roman" w:cs="Times New Roman"/>
          <w:color w:val="auto"/>
        </w:rPr>
        <w:t xml:space="preserve">Por otro lado, la Dirección Financiera remite el oficio DF-DGJ-0627-06-2016 del 28 de junio de 2016 a la Dirección de Programas Equidad sobre los Informes del Cuarto Trimestre del </w:t>
      </w:r>
      <w:r w:rsidR="003B0CE0" w:rsidRPr="00546EB1">
        <w:rPr>
          <w:rFonts w:ascii="Times New Roman" w:hAnsi="Times New Roman" w:cs="Times New Roman"/>
          <w:color w:val="auto"/>
        </w:rPr>
        <w:t xml:space="preserve">año </w:t>
      </w:r>
      <w:r w:rsidRPr="00546EB1">
        <w:rPr>
          <w:rFonts w:ascii="Times New Roman" w:hAnsi="Times New Roman" w:cs="Times New Roman"/>
          <w:color w:val="auto"/>
        </w:rPr>
        <w:t xml:space="preserve">2015 y Primer Trimestre del </w:t>
      </w:r>
      <w:r w:rsidR="003B0CE0" w:rsidRPr="00546EB1">
        <w:rPr>
          <w:rFonts w:ascii="Times New Roman" w:hAnsi="Times New Roman" w:cs="Times New Roman"/>
          <w:color w:val="auto"/>
        </w:rPr>
        <w:t xml:space="preserve">año </w:t>
      </w:r>
      <w:r w:rsidRPr="00546EB1">
        <w:rPr>
          <w:rFonts w:ascii="Times New Roman" w:hAnsi="Times New Roman" w:cs="Times New Roman"/>
          <w:color w:val="auto"/>
        </w:rPr>
        <w:t>2016. En ellos</w:t>
      </w:r>
      <w:r w:rsidR="003B0CE0" w:rsidRPr="00546EB1">
        <w:rPr>
          <w:rFonts w:ascii="Times New Roman" w:hAnsi="Times New Roman" w:cs="Times New Roman"/>
          <w:color w:val="auto"/>
        </w:rPr>
        <w:t>,</w:t>
      </w:r>
      <w:r w:rsidRPr="00546EB1">
        <w:rPr>
          <w:rFonts w:ascii="Times New Roman" w:hAnsi="Times New Roman" w:cs="Times New Roman"/>
          <w:color w:val="auto"/>
        </w:rPr>
        <w:t xml:space="preserve"> se muestran la tabulación de los datos relacionados con la disponibilidad de recursos del Programa de Equidad en las cuentas corrientes de las Juntas de Educación y Juntas Administrativas, presentados a las Direcciones Regionales de Educación por un monto total acumulado de ¢18</w:t>
      </w:r>
      <w:r w:rsidR="00D82982" w:rsidRPr="00546EB1">
        <w:rPr>
          <w:rFonts w:ascii="Times New Roman" w:hAnsi="Times New Roman" w:cs="Times New Roman"/>
          <w:color w:val="auto"/>
        </w:rPr>
        <w:t xml:space="preserve"> </w:t>
      </w:r>
      <w:r w:rsidRPr="00546EB1">
        <w:rPr>
          <w:rFonts w:ascii="Times New Roman" w:hAnsi="Times New Roman" w:cs="Times New Roman"/>
          <w:color w:val="auto"/>
        </w:rPr>
        <w:t>689</w:t>
      </w:r>
      <w:r w:rsidR="00D82982" w:rsidRPr="00546EB1">
        <w:rPr>
          <w:rFonts w:ascii="Times New Roman" w:hAnsi="Times New Roman" w:cs="Times New Roman"/>
          <w:color w:val="auto"/>
        </w:rPr>
        <w:t xml:space="preserve"> </w:t>
      </w:r>
      <w:r w:rsidRPr="00546EB1">
        <w:rPr>
          <w:rFonts w:ascii="Times New Roman" w:hAnsi="Times New Roman" w:cs="Times New Roman"/>
          <w:color w:val="auto"/>
        </w:rPr>
        <w:t>221</w:t>
      </w:r>
      <w:r w:rsidR="00D82982" w:rsidRPr="00546EB1">
        <w:rPr>
          <w:rFonts w:ascii="Times New Roman" w:hAnsi="Times New Roman" w:cs="Times New Roman"/>
          <w:color w:val="auto"/>
        </w:rPr>
        <w:t xml:space="preserve"> </w:t>
      </w:r>
      <w:r w:rsidRPr="00546EB1">
        <w:rPr>
          <w:rFonts w:ascii="Times New Roman" w:hAnsi="Times New Roman" w:cs="Times New Roman"/>
          <w:color w:val="auto"/>
        </w:rPr>
        <w:t>987</w:t>
      </w:r>
      <w:r w:rsidR="00D82982" w:rsidRPr="00546EB1">
        <w:rPr>
          <w:rFonts w:ascii="Times New Roman" w:hAnsi="Times New Roman" w:cs="Times New Roman"/>
          <w:color w:val="auto"/>
        </w:rPr>
        <w:t>,</w:t>
      </w:r>
      <w:r w:rsidRPr="00546EB1">
        <w:rPr>
          <w:rFonts w:ascii="Times New Roman" w:hAnsi="Times New Roman" w:cs="Times New Roman"/>
          <w:color w:val="auto"/>
        </w:rPr>
        <w:t>01</w:t>
      </w:r>
      <w:r w:rsidR="00F9081B">
        <w:rPr>
          <w:rFonts w:ascii="Times New Roman" w:hAnsi="Times New Roman" w:cs="Times New Roman"/>
          <w:color w:val="auto"/>
        </w:rPr>
        <w:t>.</w:t>
      </w:r>
    </w:p>
    <w:p w14:paraId="0042601B" w14:textId="77777777" w:rsidR="00A209EA" w:rsidRPr="00546EB1" w:rsidRDefault="00A209EA" w:rsidP="00A209EA">
      <w:pPr>
        <w:autoSpaceDE w:val="0"/>
        <w:autoSpaceDN w:val="0"/>
        <w:adjustRightInd w:val="0"/>
        <w:jc w:val="both"/>
      </w:pPr>
    </w:p>
    <w:p w14:paraId="0D6D9254" w14:textId="77777777" w:rsidR="004819D5" w:rsidRPr="00546EB1" w:rsidRDefault="004819D5" w:rsidP="00A209EA">
      <w:pPr>
        <w:autoSpaceDE w:val="0"/>
        <w:autoSpaceDN w:val="0"/>
        <w:adjustRightInd w:val="0"/>
        <w:jc w:val="both"/>
      </w:pPr>
    </w:p>
    <w:p w14:paraId="3F934711" w14:textId="77777777" w:rsidR="00A209EA" w:rsidRPr="00546EB1" w:rsidRDefault="00A209EA" w:rsidP="00A209EA">
      <w:pPr>
        <w:autoSpaceDE w:val="0"/>
        <w:autoSpaceDN w:val="0"/>
        <w:adjustRightInd w:val="0"/>
        <w:jc w:val="both"/>
      </w:pPr>
      <w:r w:rsidRPr="00546EB1">
        <w:lastRenderedPageBreak/>
        <w:t>Ahora bien, con el objeto de hacer uso de los recursos derivados de la ejecución de los Programas de Equidad de periodos anteriores al ejercicio económico del año 2016, y de acuerdo al oficio DF-DGJ-0627-06-2016 DPE, respecto al cierre del Cuarto Trimestre del 2015, la DPE emite la circular DPE-571-16</w:t>
      </w:r>
      <w:r w:rsidR="0017714B" w:rsidRPr="00546EB1">
        <w:t xml:space="preserve"> del 23 de setiembre de 2016 “</w:t>
      </w:r>
      <w:r w:rsidR="0017714B" w:rsidRPr="00546EB1">
        <w:rPr>
          <w:i/>
        </w:rPr>
        <w:t>Uso de saldos de recursos derivados de la ejecución de los Programas de Equidad, de períodos anteriores al ejercicio económico 2016</w:t>
      </w:r>
      <w:r w:rsidR="0017714B" w:rsidRPr="00546EB1">
        <w:t>”</w:t>
      </w:r>
      <w:r w:rsidRPr="00546EB1">
        <w:t xml:space="preserve"> en la cual</w:t>
      </w:r>
      <w:r w:rsidR="008E54B5" w:rsidRPr="00546EB1">
        <w:t xml:space="preserve"> </w:t>
      </w:r>
      <w:r w:rsidRPr="00546EB1">
        <w:t>establece una serie de lineamientos (por tipo de programa), con el propósito de establecer normas para utilizar aquellos recursos no ejecutados por las Juntas de Educación y Juntas Administrativas, en años anteriores, y</w:t>
      </w:r>
      <w:r w:rsidR="008E54B5" w:rsidRPr="00546EB1">
        <w:t xml:space="preserve"> </w:t>
      </w:r>
      <w:r w:rsidRPr="00546EB1">
        <w:t xml:space="preserve">que se encuentran en los bancos estatales, además señala que dependiendo la condición de esos fondos, serán devueltos a la Caja Única del Estado, mediante enteros de gobierno. </w:t>
      </w:r>
    </w:p>
    <w:p w14:paraId="101A1B24" w14:textId="77777777" w:rsidR="00A209EA" w:rsidRPr="00546EB1" w:rsidRDefault="00A209EA" w:rsidP="00A209EA">
      <w:pPr>
        <w:autoSpaceDE w:val="0"/>
        <w:autoSpaceDN w:val="0"/>
        <w:adjustRightInd w:val="0"/>
        <w:jc w:val="both"/>
      </w:pPr>
    </w:p>
    <w:p w14:paraId="548FDDE3" w14:textId="77777777" w:rsidR="00A209EA" w:rsidRPr="00546EB1" w:rsidRDefault="00A209EA" w:rsidP="00A209EA">
      <w:pPr>
        <w:pStyle w:val="Default"/>
        <w:jc w:val="both"/>
        <w:rPr>
          <w:rFonts w:ascii="Times New Roman" w:hAnsi="Times New Roman"/>
          <w:color w:val="auto"/>
        </w:rPr>
      </w:pPr>
      <w:r w:rsidRPr="00546EB1">
        <w:rPr>
          <w:rFonts w:ascii="Times New Roman" w:hAnsi="Times New Roman"/>
          <w:color w:val="auto"/>
        </w:rPr>
        <w:t>El objetivo de la circular DPE-571-16, era considerar que los recursos reintegrados a la Caja Única del Estado fueran reincorporados en el presupuesto del Ministerio de Educación, para los mismos programas sociales de Programa de Equidad, mediante una aprobación extraordinaria del presupuesto, de modo que se volviera a reutilizar en esa dirección. No obstante</w:t>
      </w:r>
      <w:r w:rsidR="00D82982" w:rsidRPr="00546EB1">
        <w:rPr>
          <w:rFonts w:ascii="Times New Roman" w:hAnsi="Times New Roman"/>
          <w:color w:val="auto"/>
        </w:rPr>
        <w:t>,</w:t>
      </w:r>
      <w:r w:rsidRPr="00546EB1">
        <w:rPr>
          <w:rFonts w:ascii="Times New Roman" w:hAnsi="Times New Roman"/>
          <w:color w:val="auto"/>
        </w:rPr>
        <w:t xml:space="preserve"> la Administración no realizó las gestiones pertinentes y oportunas para tramitar el traslado al presupuesto del MEP, aduciendo desconocimiento en el procedimiento a seguir. </w:t>
      </w:r>
    </w:p>
    <w:p w14:paraId="2E4034F1" w14:textId="77777777" w:rsidR="00A209EA" w:rsidRPr="00546EB1" w:rsidRDefault="00A209EA" w:rsidP="00A209EA">
      <w:pPr>
        <w:pStyle w:val="Default"/>
        <w:jc w:val="both"/>
        <w:rPr>
          <w:rFonts w:ascii="Times New Roman" w:hAnsi="Times New Roman"/>
          <w:color w:val="auto"/>
        </w:rPr>
      </w:pPr>
    </w:p>
    <w:p w14:paraId="703BD578" w14:textId="27A62442" w:rsidR="00A209EA" w:rsidRPr="00546EB1" w:rsidRDefault="00A209EA" w:rsidP="00A209EA">
      <w:pPr>
        <w:pStyle w:val="Default"/>
        <w:jc w:val="both"/>
        <w:rPr>
          <w:rFonts w:ascii="Times New Roman" w:hAnsi="Times New Roman"/>
          <w:color w:val="auto"/>
        </w:rPr>
      </w:pPr>
      <w:r w:rsidRPr="00546EB1">
        <w:rPr>
          <w:rFonts w:ascii="Times New Roman" w:hAnsi="Times New Roman"/>
          <w:color w:val="auto"/>
        </w:rPr>
        <w:t xml:space="preserve">Esta condición fue confirmada por la Dirección </w:t>
      </w:r>
      <w:r w:rsidR="00F9081B">
        <w:rPr>
          <w:rFonts w:ascii="Times New Roman" w:hAnsi="Times New Roman"/>
          <w:color w:val="auto"/>
        </w:rPr>
        <w:t>F</w:t>
      </w:r>
      <w:r w:rsidRPr="00546EB1">
        <w:rPr>
          <w:rFonts w:ascii="Times New Roman" w:hAnsi="Times New Roman"/>
          <w:color w:val="auto"/>
        </w:rPr>
        <w:t xml:space="preserve">inanciera a través de su oficio DF-0342-2018 del 10 de julio de 2018, en respuesta a </w:t>
      </w:r>
      <w:r w:rsidR="00166820" w:rsidRPr="00546EB1">
        <w:rPr>
          <w:rFonts w:ascii="Times New Roman" w:hAnsi="Times New Roman"/>
          <w:color w:val="auto"/>
        </w:rPr>
        <w:t xml:space="preserve">una </w:t>
      </w:r>
      <w:r w:rsidRPr="00546EB1">
        <w:rPr>
          <w:rFonts w:ascii="Times New Roman" w:hAnsi="Times New Roman"/>
          <w:color w:val="auto"/>
        </w:rPr>
        <w:t>consulta realizada por la Dirección de Auditor</w:t>
      </w:r>
      <w:r w:rsidR="00F9081B">
        <w:rPr>
          <w:rFonts w:ascii="Times New Roman" w:hAnsi="Times New Roman"/>
          <w:color w:val="auto"/>
        </w:rPr>
        <w:t>í</w:t>
      </w:r>
      <w:r w:rsidRPr="00546EB1">
        <w:rPr>
          <w:rFonts w:ascii="Times New Roman" w:hAnsi="Times New Roman"/>
          <w:color w:val="auto"/>
        </w:rPr>
        <w:t xml:space="preserve">a </w:t>
      </w:r>
      <w:r w:rsidR="00D82982" w:rsidRPr="00546EB1">
        <w:rPr>
          <w:rFonts w:ascii="Times New Roman" w:hAnsi="Times New Roman"/>
          <w:color w:val="auto"/>
        </w:rPr>
        <w:t xml:space="preserve">Interna </w:t>
      </w:r>
      <w:r w:rsidRPr="00546EB1">
        <w:rPr>
          <w:rFonts w:ascii="Times New Roman" w:hAnsi="Times New Roman"/>
          <w:color w:val="auto"/>
        </w:rPr>
        <w:t>mediante oficio AI-0873-18, en dónde se le solicitó a la Directora de la Dirección Financiera, en lo aquí comentado, si: “…</w:t>
      </w:r>
      <w:r w:rsidRPr="00546EB1">
        <w:rPr>
          <w:rFonts w:ascii="Times New Roman" w:hAnsi="Times New Roman"/>
          <w:i/>
          <w:color w:val="auto"/>
        </w:rPr>
        <w:t xml:space="preserve"> ha diseñado o implementado algún procedimiento relacionado con reincorporar al presupuesto ordinario del Ministerio de Educación Pública, recursos reintegrados a la Caja única del Estado por parte de las Juntas de Educación y Administrativas …”</w:t>
      </w:r>
    </w:p>
    <w:p w14:paraId="42794738" w14:textId="77777777" w:rsidR="00A209EA" w:rsidRPr="00546EB1" w:rsidRDefault="00A209EA" w:rsidP="00A209EA">
      <w:pPr>
        <w:pStyle w:val="Default"/>
        <w:jc w:val="both"/>
        <w:rPr>
          <w:rFonts w:ascii="Times New Roman" w:hAnsi="Times New Roman"/>
          <w:color w:val="FF0000"/>
        </w:rPr>
      </w:pPr>
    </w:p>
    <w:p w14:paraId="41ADF51A" w14:textId="77777777" w:rsidR="00A209EA" w:rsidRPr="00546EB1" w:rsidRDefault="00166820" w:rsidP="00A209EA">
      <w:pPr>
        <w:pStyle w:val="Default"/>
        <w:jc w:val="both"/>
        <w:rPr>
          <w:rFonts w:ascii="Times New Roman" w:hAnsi="Times New Roman"/>
          <w:color w:val="auto"/>
        </w:rPr>
      </w:pPr>
      <w:r w:rsidRPr="00546EB1">
        <w:rPr>
          <w:rFonts w:ascii="Times New Roman" w:hAnsi="Times New Roman"/>
          <w:color w:val="auto"/>
        </w:rPr>
        <w:t>En respuesta a lo consultado</w:t>
      </w:r>
      <w:r w:rsidR="00A209EA" w:rsidRPr="00546EB1">
        <w:rPr>
          <w:rFonts w:ascii="Times New Roman" w:hAnsi="Times New Roman"/>
          <w:color w:val="auto"/>
        </w:rPr>
        <w:t xml:space="preserve">, la Dirección Financiera </w:t>
      </w:r>
      <w:r w:rsidRPr="00546EB1">
        <w:rPr>
          <w:rFonts w:ascii="Times New Roman" w:hAnsi="Times New Roman"/>
          <w:color w:val="auto"/>
        </w:rPr>
        <w:t>señala:</w:t>
      </w:r>
      <w:r w:rsidR="00A209EA" w:rsidRPr="00546EB1">
        <w:rPr>
          <w:rFonts w:ascii="Times New Roman" w:hAnsi="Times New Roman"/>
          <w:color w:val="auto"/>
        </w:rPr>
        <w:t xml:space="preserve"> </w:t>
      </w:r>
    </w:p>
    <w:p w14:paraId="49A0C468" w14:textId="77777777" w:rsidR="00A209EA" w:rsidRPr="00546EB1" w:rsidRDefault="00A209EA" w:rsidP="00A209EA">
      <w:pPr>
        <w:autoSpaceDE w:val="0"/>
        <w:autoSpaceDN w:val="0"/>
        <w:adjustRightInd w:val="0"/>
        <w:rPr>
          <w:rFonts w:ascii="Century Gothic" w:hAnsi="Century Gothic" w:cs="Century Gothic"/>
        </w:rPr>
      </w:pPr>
    </w:p>
    <w:p w14:paraId="379B9B14" w14:textId="77777777" w:rsidR="00A209EA" w:rsidRPr="00546EB1" w:rsidRDefault="00A209EA" w:rsidP="00A209EA">
      <w:pPr>
        <w:autoSpaceDE w:val="0"/>
        <w:autoSpaceDN w:val="0"/>
        <w:adjustRightInd w:val="0"/>
        <w:ind w:left="634"/>
        <w:jc w:val="both"/>
        <w:rPr>
          <w:i/>
          <w:sz w:val="22"/>
          <w:szCs w:val="22"/>
        </w:rPr>
      </w:pPr>
      <w:r w:rsidRPr="00546EB1">
        <w:rPr>
          <w:i/>
          <w:sz w:val="22"/>
          <w:szCs w:val="22"/>
        </w:rPr>
        <w:t xml:space="preserve">Al respecto me permito indicar que posterior a la emisión del Oficio DF-SUB-054-2017, la Dirección Financiera, no ha diseñado ni implementado procedimiento específico relacionado con la reincorporación al presupuesto ordinario del MEP, recursos reintegrados a la Caja Única del Estado por parte de las Juntas de Educación y Administrativas, del Programa Presupuestario 558: Programas de Equidad, ni de ningún otro beneficiario de transferencias. </w:t>
      </w:r>
    </w:p>
    <w:p w14:paraId="67992B2D" w14:textId="77777777" w:rsidR="00A209EA" w:rsidRPr="00546EB1" w:rsidRDefault="00A209EA" w:rsidP="00A209EA">
      <w:pPr>
        <w:autoSpaceDE w:val="0"/>
        <w:autoSpaceDN w:val="0"/>
        <w:adjustRightInd w:val="0"/>
        <w:ind w:left="634"/>
        <w:jc w:val="both"/>
        <w:rPr>
          <w:i/>
          <w:sz w:val="22"/>
          <w:szCs w:val="22"/>
        </w:rPr>
      </w:pPr>
    </w:p>
    <w:p w14:paraId="7A1A402D" w14:textId="77777777" w:rsidR="00A209EA" w:rsidRPr="00546EB1" w:rsidRDefault="00A209EA" w:rsidP="00122E67">
      <w:pPr>
        <w:autoSpaceDE w:val="0"/>
        <w:autoSpaceDN w:val="0"/>
        <w:adjustRightInd w:val="0"/>
        <w:ind w:left="634"/>
        <w:jc w:val="both"/>
        <w:rPr>
          <w:i/>
          <w:sz w:val="22"/>
          <w:szCs w:val="22"/>
        </w:rPr>
      </w:pPr>
      <w:r w:rsidRPr="00546EB1">
        <w:rPr>
          <w:i/>
          <w:sz w:val="22"/>
          <w:szCs w:val="22"/>
        </w:rPr>
        <w:t xml:space="preserve">Si bien es cierto la materia financiera y presupuestaria regulada por el Ministerio de Hacienda establece normas generales en ese particular, estimamos de conveniencia institucional, dada la significativa proporción que maneja el MEP en transferencias, diseñar e implementar un procedimiento específico para el tema que nos ocupa en esta misiva; no solamente para el caso del programa presupuestario 558, sino para reintegros que provengan de cualquier otra entidad beneficiaria de transferencias tanto del ejercicio económico vigente como de períodos anteriores. </w:t>
      </w:r>
    </w:p>
    <w:p w14:paraId="5C1CEE97" w14:textId="77777777" w:rsidR="00A209EA" w:rsidRPr="00546EB1" w:rsidRDefault="00A209EA" w:rsidP="0051730B">
      <w:pPr>
        <w:autoSpaceDE w:val="0"/>
        <w:autoSpaceDN w:val="0"/>
        <w:adjustRightInd w:val="0"/>
        <w:ind w:left="634"/>
        <w:jc w:val="both"/>
        <w:rPr>
          <w:rFonts w:ascii="Century Gothic" w:hAnsi="Century Gothic" w:cs="Century Gothic"/>
          <w:sz w:val="22"/>
          <w:szCs w:val="22"/>
        </w:rPr>
      </w:pPr>
      <w:r w:rsidRPr="00546EB1">
        <w:rPr>
          <w:i/>
          <w:sz w:val="22"/>
          <w:szCs w:val="22"/>
        </w:rPr>
        <w:t>Cabe señalar que por tratarse de un área específica en materia financiera y presupuestaria puede incursionar esta Dirección en el diseño de un procedimiento de la naturaleza descrita; sin embargo es requerida la participación de varias dependencias y su implementación tendrá como responsables directos a los Programas Presupuestarios y Unidades Ejecutoras que transfieren los recursos.</w:t>
      </w:r>
      <w:r w:rsidRPr="00546EB1">
        <w:rPr>
          <w:rFonts w:ascii="Century Gothic" w:hAnsi="Century Gothic" w:cs="Century Gothic"/>
          <w:sz w:val="22"/>
          <w:szCs w:val="22"/>
        </w:rPr>
        <w:t xml:space="preserve"> </w:t>
      </w:r>
    </w:p>
    <w:p w14:paraId="5CF9F497" w14:textId="77777777" w:rsidR="00A209EA" w:rsidRPr="00546EB1" w:rsidRDefault="00A209EA" w:rsidP="0057313D">
      <w:pPr>
        <w:pStyle w:val="Default"/>
        <w:ind w:left="634"/>
        <w:jc w:val="both"/>
        <w:rPr>
          <w:rFonts w:ascii="Times New Roman" w:hAnsi="Times New Roman" w:cs="Times New Roman"/>
          <w:i/>
          <w:color w:val="auto"/>
          <w:sz w:val="22"/>
          <w:szCs w:val="22"/>
        </w:rPr>
      </w:pPr>
      <w:r w:rsidRPr="00546EB1">
        <w:rPr>
          <w:rFonts w:ascii="Times New Roman" w:hAnsi="Times New Roman" w:cs="Times New Roman"/>
          <w:i/>
          <w:color w:val="auto"/>
          <w:sz w:val="22"/>
          <w:szCs w:val="22"/>
        </w:rPr>
        <w:lastRenderedPageBreak/>
        <w:t>Así mismo una tarea como la descrita implica determinar a nivel ministerial regulaciones específicas que hubiesen emitido las diferentes unidades ejecutoras responsables del giro de transferencias, de tal forma que el procedimiento a diseñar considere o derogue aquellas que no sean consecuentes con la norma presupuestaria y financiera vigente.</w:t>
      </w:r>
    </w:p>
    <w:p w14:paraId="7C29279C" w14:textId="77777777" w:rsidR="004819D5" w:rsidRDefault="004819D5" w:rsidP="00122E67">
      <w:pPr>
        <w:jc w:val="both"/>
      </w:pPr>
    </w:p>
    <w:p w14:paraId="5678923C" w14:textId="7901CF9A" w:rsidR="003220A7" w:rsidRPr="00EE5DC2" w:rsidRDefault="0016231B" w:rsidP="00CF48D8">
      <w:pPr>
        <w:pStyle w:val="Default"/>
        <w:jc w:val="both"/>
        <w:rPr>
          <w:rFonts w:ascii="Times New Roman" w:hAnsi="Times New Roman" w:cs="Times New Roman"/>
          <w:color w:val="auto"/>
        </w:rPr>
      </w:pPr>
      <w:r w:rsidRPr="00EE5DC2">
        <w:rPr>
          <w:rFonts w:ascii="Times New Roman" w:hAnsi="Times New Roman" w:cs="Times New Roman"/>
          <w:color w:val="auto"/>
        </w:rPr>
        <w:t xml:space="preserve">Sobre lo externado por la Dirección Financiera, es criterio de esta Auditoría </w:t>
      </w:r>
      <w:r w:rsidR="00BF323E" w:rsidRPr="00EE5DC2">
        <w:rPr>
          <w:rFonts w:ascii="Times New Roman" w:hAnsi="Times New Roman" w:cs="Times New Roman"/>
          <w:color w:val="auto"/>
        </w:rPr>
        <w:t xml:space="preserve">Interna </w:t>
      </w:r>
      <w:r w:rsidR="00CF48D8" w:rsidRPr="00EE5DC2">
        <w:rPr>
          <w:rFonts w:ascii="Times New Roman" w:hAnsi="Times New Roman" w:cs="Times New Roman"/>
          <w:color w:val="auto"/>
        </w:rPr>
        <w:t>que la Administración deb</w:t>
      </w:r>
      <w:r w:rsidR="00524742" w:rsidRPr="00EE5DC2">
        <w:rPr>
          <w:rFonts w:ascii="Times New Roman" w:hAnsi="Times New Roman" w:cs="Times New Roman"/>
          <w:color w:val="auto"/>
        </w:rPr>
        <w:t>e</w:t>
      </w:r>
      <w:r w:rsidR="00CF48D8" w:rsidRPr="00EE5DC2">
        <w:rPr>
          <w:rFonts w:ascii="Times New Roman" w:hAnsi="Times New Roman" w:cs="Times New Roman"/>
          <w:color w:val="auto"/>
        </w:rPr>
        <w:t xml:space="preserve"> </w:t>
      </w:r>
      <w:r w:rsidR="00BF323E" w:rsidRPr="00EE5DC2">
        <w:rPr>
          <w:rFonts w:ascii="Times New Roman" w:hAnsi="Times New Roman" w:cs="Times New Roman"/>
          <w:color w:val="auto"/>
        </w:rPr>
        <w:t>realizar un análisis</w:t>
      </w:r>
      <w:r w:rsidR="00524742" w:rsidRPr="00EE5DC2">
        <w:rPr>
          <w:rFonts w:ascii="Times New Roman" w:hAnsi="Times New Roman" w:cs="Times New Roman"/>
          <w:color w:val="auto"/>
        </w:rPr>
        <w:t>,</w:t>
      </w:r>
      <w:r w:rsidR="00BF323E" w:rsidRPr="00EE5DC2">
        <w:rPr>
          <w:rFonts w:ascii="Times New Roman" w:hAnsi="Times New Roman" w:cs="Times New Roman"/>
          <w:color w:val="auto"/>
        </w:rPr>
        <w:t xml:space="preserve"> a nivel ministerial</w:t>
      </w:r>
      <w:r w:rsidR="00524742" w:rsidRPr="00EE5DC2">
        <w:rPr>
          <w:rFonts w:ascii="Times New Roman" w:hAnsi="Times New Roman" w:cs="Times New Roman"/>
          <w:color w:val="auto"/>
        </w:rPr>
        <w:t>,</w:t>
      </w:r>
      <w:r w:rsidR="00BF323E" w:rsidRPr="00EE5DC2">
        <w:rPr>
          <w:rFonts w:ascii="Times New Roman" w:hAnsi="Times New Roman" w:cs="Times New Roman"/>
          <w:color w:val="auto"/>
        </w:rPr>
        <w:t xml:space="preserve"> de los recursos </w:t>
      </w:r>
      <w:r w:rsidR="00524742" w:rsidRPr="00EE5DC2">
        <w:rPr>
          <w:rFonts w:ascii="Times New Roman" w:hAnsi="Times New Roman" w:cs="Times New Roman"/>
          <w:color w:val="auto"/>
        </w:rPr>
        <w:t xml:space="preserve">administrados por las juntas y </w:t>
      </w:r>
      <w:r w:rsidR="00BF323E" w:rsidRPr="00EE5DC2">
        <w:rPr>
          <w:rFonts w:ascii="Times New Roman" w:hAnsi="Times New Roman" w:cs="Times New Roman"/>
          <w:color w:val="auto"/>
        </w:rPr>
        <w:t xml:space="preserve">que se encuentran en las cuentas de la banca comercial </w:t>
      </w:r>
      <w:r w:rsidR="00524742" w:rsidRPr="00EE5DC2">
        <w:rPr>
          <w:rFonts w:ascii="Times New Roman" w:hAnsi="Times New Roman" w:cs="Times New Roman"/>
          <w:color w:val="auto"/>
        </w:rPr>
        <w:t xml:space="preserve">de los cuales se </w:t>
      </w:r>
      <w:r w:rsidR="00DC246B" w:rsidRPr="00EE5DC2">
        <w:rPr>
          <w:rFonts w:ascii="Times New Roman" w:hAnsi="Times New Roman" w:cs="Times New Roman"/>
          <w:color w:val="auto"/>
        </w:rPr>
        <w:t xml:space="preserve">supone </w:t>
      </w:r>
      <w:r w:rsidR="008E2F41" w:rsidRPr="00EE5DC2">
        <w:rPr>
          <w:rFonts w:ascii="Times New Roman" w:hAnsi="Times New Roman" w:cs="Times New Roman"/>
          <w:color w:val="auto"/>
        </w:rPr>
        <w:t xml:space="preserve">son </w:t>
      </w:r>
      <w:r w:rsidR="00BF323E" w:rsidRPr="00EE5DC2">
        <w:rPr>
          <w:rFonts w:ascii="Times New Roman" w:hAnsi="Times New Roman" w:cs="Times New Roman"/>
          <w:color w:val="auto"/>
        </w:rPr>
        <w:t>remanente</w:t>
      </w:r>
      <w:r w:rsidR="00DC246B" w:rsidRPr="00EE5DC2">
        <w:rPr>
          <w:rFonts w:ascii="Times New Roman" w:hAnsi="Times New Roman" w:cs="Times New Roman"/>
          <w:color w:val="auto"/>
        </w:rPr>
        <w:t>s</w:t>
      </w:r>
      <w:r w:rsidR="008E2F41" w:rsidRPr="00EE5DC2">
        <w:rPr>
          <w:rFonts w:ascii="Times New Roman" w:hAnsi="Times New Roman" w:cs="Times New Roman"/>
          <w:color w:val="auto"/>
        </w:rPr>
        <w:t xml:space="preserve"> y que de alguna manera podría</w:t>
      </w:r>
      <w:r w:rsidR="00524742" w:rsidRPr="00EE5DC2">
        <w:rPr>
          <w:rFonts w:ascii="Times New Roman" w:hAnsi="Times New Roman" w:cs="Times New Roman"/>
          <w:color w:val="auto"/>
        </w:rPr>
        <w:t>n</w:t>
      </w:r>
      <w:r w:rsidR="008E2F41" w:rsidRPr="00EE5DC2">
        <w:rPr>
          <w:rFonts w:ascii="Times New Roman" w:hAnsi="Times New Roman" w:cs="Times New Roman"/>
          <w:color w:val="auto"/>
        </w:rPr>
        <w:t xml:space="preserve"> </w:t>
      </w:r>
      <w:r w:rsidR="00524742" w:rsidRPr="00EE5DC2">
        <w:rPr>
          <w:rFonts w:ascii="Times New Roman" w:hAnsi="Times New Roman" w:cs="Times New Roman"/>
          <w:color w:val="auto"/>
        </w:rPr>
        <w:t xml:space="preserve">catalogarse de forma técnica </w:t>
      </w:r>
      <w:r w:rsidR="00DC246B" w:rsidRPr="00EE5DC2">
        <w:rPr>
          <w:rFonts w:ascii="Times New Roman" w:hAnsi="Times New Roman" w:cs="Times New Roman"/>
          <w:color w:val="auto"/>
        </w:rPr>
        <w:t xml:space="preserve">como un </w:t>
      </w:r>
      <w:r w:rsidR="00BF323E" w:rsidRPr="00EE5DC2">
        <w:rPr>
          <w:rFonts w:ascii="Times New Roman" w:hAnsi="Times New Roman" w:cs="Times New Roman"/>
          <w:color w:val="auto"/>
        </w:rPr>
        <w:t>superávit libre</w:t>
      </w:r>
      <w:r w:rsidR="00CF48D8" w:rsidRPr="00EE5DC2">
        <w:rPr>
          <w:rFonts w:ascii="Times New Roman" w:hAnsi="Times New Roman" w:cs="Times New Roman"/>
          <w:color w:val="auto"/>
        </w:rPr>
        <w:t xml:space="preserve">. </w:t>
      </w:r>
    </w:p>
    <w:p w14:paraId="06C65824" w14:textId="77777777" w:rsidR="003220A7" w:rsidRPr="00EE5DC2" w:rsidRDefault="003220A7" w:rsidP="00CF48D8">
      <w:pPr>
        <w:pStyle w:val="Default"/>
        <w:jc w:val="both"/>
        <w:rPr>
          <w:rFonts w:ascii="Times New Roman" w:hAnsi="Times New Roman" w:cs="Times New Roman"/>
          <w:color w:val="auto"/>
        </w:rPr>
      </w:pPr>
    </w:p>
    <w:p w14:paraId="7A0570D3" w14:textId="55F8424C" w:rsidR="0016231B" w:rsidRPr="00EE5DC2" w:rsidRDefault="00CF48D8" w:rsidP="00CF48D8">
      <w:pPr>
        <w:pStyle w:val="Default"/>
        <w:jc w:val="both"/>
        <w:rPr>
          <w:rFonts w:ascii="Times New Roman" w:hAnsi="Times New Roman" w:cs="Times New Roman"/>
          <w:i/>
          <w:color w:val="auto"/>
        </w:rPr>
      </w:pPr>
      <w:r w:rsidRPr="00EE5DC2">
        <w:rPr>
          <w:rFonts w:ascii="Times New Roman" w:hAnsi="Times New Roman" w:cs="Times New Roman"/>
          <w:color w:val="auto"/>
        </w:rPr>
        <w:t>Por lo</w:t>
      </w:r>
      <w:r w:rsidR="00524742" w:rsidRPr="00EE5DC2">
        <w:rPr>
          <w:rFonts w:ascii="Times New Roman" w:hAnsi="Times New Roman" w:cs="Times New Roman"/>
          <w:color w:val="auto"/>
        </w:rPr>
        <w:t xml:space="preserve"> tanto</w:t>
      </w:r>
      <w:r w:rsidRPr="00EE5DC2">
        <w:rPr>
          <w:rFonts w:ascii="Times New Roman" w:hAnsi="Times New Roman" w:cs="Times New Roman"/>
          <w:color w:val="auto"/>
        </w:rPr>
        <w:t xml:space="preserve">, </w:t>
      </w:r>
      <w:r w:rsidR="00524742" w:rsidRPr="00EE5DC2">
        <w:rPr>
          <w:rFonts w:ascii="Times New Roman" w:hAnsi="Times New Roman" w:cs="Times New Roman"/>
          <w:color w:val="auto"/>
        </w:rPr>
        <w:t xml:space="preserve"> para </w:t>
      </w:r>
      <w:r w:rsidR="00BF323E" w:rsidRPr="00EE5DC2">
        <w:rPr>
          <w:rFonts w:ascii="Times New Roman" w:hAnsi="Times New Roman" w:cs="Times New Roman"/>
          <w:color w:val="auto"/>
        </w:rPr>
        <w:t xml:space="preserve">identificar </w:t>
      </w:r>
      <w:r w:rsidR="00524742" w:rsidRPr="00EE5DC2">
        <w:rPr>
          <w:rFonts w:ascii="Times New Roman" w:hAnsi="Times New Roman" w:cs="Times New Roman"/>
          <w:color w:val="auto"/>
        </w:rPr>
        <w:t xml:space="preserve">y clasificar </w:t>
      </w:r>
      <w:r w:rsidRPr="00EE5DC2">
        <w:rPr>
          <w:rFonts w:ascii="Times New Roman" w:hAnsi="Times New Roman" w:cs="Times New Roman"/>
          <w:color w:val="auto"/>
        </w:rPr>
        <w:t>esos</w:t>
      </w:r>
      <w:r w:rsidR="00BF323E" w:rsidRPr="00EE5DC2">
        <w:rPr>
          <w:rFonts w:ascii="Times New Roman" w:hAnsi="Times New Roman" w:cs="Times New Roman"/>
          <w:color w:val="auto"/>
        </w:rPr>
        <w:t xml:space="preserve"> recursos </w:t>
      </w:r>
      <w:r w:rsidR="00524742" w:rsidRPr="00EE5DC2">
        <w:rPr>
          <w:rFonts w:ascii="Times New Roman" w:hAnsi="Times New Roman" w:cs="Times New Roman"/>
          <w:color w:val="auto"/>
        </w:rPr>
        <w:t xml:space="preserve">se </w:t>
      </w:r>
      <w:r w:rsidRPr="00EE5DC2">
        <w:rPr>
          <w:rFonts w:ascii="Times New Roman" w:hAnsi="Times New Roman" w:cs="Times New Roman"/>
          <w:color w:val="auto"/>
        </w:rPr>
        <w:t>requiere de un compromiso de todos los actores involucrados</w:t>
      </w:r>
      <w:r w:rsidR="00DC246B" w:rsidRPr="00EE5DC2">
        <w:rPr>
          <w:rFonts w:ascii="Times New Roman" w:hAnsi="Times New Roman" w:cs="Times New Roman"/>
          <w:color w:val="auto"/>
        </w:rPr>
        <w:t>,</w:t>
      </w:r>
      <w:r w:rsidRPr="00EE5DC2">
        <w:rPr>
          <w:rFonts w:ascii="Times New Roman" w:hAnsi="Times New Roman" w:cs="Times New Roman"/>
          <w:color w:val="auto"/>
        </w:rPr>
        <w:t xml:space="preserve"> </w:t>
      </w:r>
      <w:r w:rsidR="00524742" w:rsidRPr="00EE5DC2">
        <w:rPr>
          <w:rFonts w:ascii="Times New Roman" w:hAnsi="Times New Roman" w:cs="Times New Roman"/>
          <w:color w:val="auto"/>
        </w:rPr>
        <w:t xml:space="preserve"> y </w:t>
      </w:r>
      <w:r w:rsidRPr="00EE5DC2">
        <w:rPr>
          <w:rFonts w:ascii="Times New Roman" w:hAnsi="Times New Roman" w:cs="Times New Roman"/>
          <w:color w:val="auto"/>
        </w:rPr>
        <w:t>no solo le competería a la Di</w:t>
      </w:r>
      <w:r w:rsidR="00EE5DC2">
        <w:rPr>
          <w:rFonts w:ascii="Times New Roman" w:hAnsi="Times New Roman" w:cs="Times New Roman"/>
          <w:color w:val="auto"/>
        </w:rPr>
        <w:t>rección de Programas de Equidad; a</w:t>
      </w:r>
      <w:r w:rsidRPr="00EE5DC2">
        <w:rPr>
          <w:rFonts w:ascii="Times New Roman" w:hAnsi="Times New Roman" w:cs="Times New Roman"/>
          <w:color w:val="auto"/>
        </w:rPr>
        <w:t>specto que sería congruente con la Circular CIR-TN-033-2018 del 17 de diciembre del 2018</w:t>
      </w:r>
      <w:r w:rsidR="00524742" w:rsidRPr="00EE5DC2">
        <w:rPr>
          <w:rFonts w:ascii="Times New Roman" w:hAnsi="Times New Roman" w:cs="Times New Roman"/>
          <w:color w:val="auto"/>
        </w:rPr>
        <w:t xml:space="preserve"> </w:t>
      </w:r>
      <w:r w:rsidRPr="00EE5DC2">
        <w:rPr>
          <w:rFonts w:ascii="Times New Roman" w:hAnsi="Times New Roman" w:cs="Times New Roman"/>
          <w:color w:val="auto"/>
        </w:rPr>
        <w:t xml:space="preserve"> </w:t>
      </w:r>
      <w:r w:rsidR="00524742" w:rsidRPr="00EE5DC2">
        <w:rPr>
          <w:rFonts w:ascii="Times New Roman" w:hAnsi="Times New Roman" w:cs="Times New Roman"/>
          <w:color w:val="auto"/>
        </w:rPr>
        <w:t>denominada</w:t>
      </w:r>
      <w:r w:rsidR="00EE5DC2">
        <w:rPr>
          <w:rFonts w:ascii="Times New Roman" w:hAnsi="Times New Roman" w:cs="Times New Roman"/>
          <w:color w:val="auto"/>
        </w:rPr>
        <w:t xml:space="preserve"> </w:t>
      </w:r>
      <w:r w:rsidRPr="00EE5DC2">
        <w:rPr>
          <w:rFonts w:ascii="Times New Roman" w:hAnsi="Times New Roman" w:cs="Times New Roman"/>
          <w:color w:val="auto"/>
        </w:rPr>
        <w:t>“</w:t>
      </w:r>
      <w:r w:rsidRPr="00EE5DC2">
        <w:rPr>
          <w:rFonts w:ascii="Times New Roman" w:hAnsi="Times New Roman" w:cs="Times New Roman"/>
          <w:i/>
          <w:color w:val="auto"/>
        </w:rPr>
        <w:t>Lineamientos para el depósito de los remantes de superávit libre acumulado al año 2015 en aplicación de la Ley N° 9371, “Eficiencia en la Administración de los Recursos Públicos” y de conformidad con lo dispuesto en el acuerdo N°12232 de la Autoridad Presupuestaria”.</w:t>
      </w:r>
    </w:p>
    <w:p w14:paraId="492FC204" w14:textId="77777777" w:rsidR="00DC246B" w:rsidRDefault="00DC246B" w:rsidP="00CF48D8">
      <w:pPr>
        <w:pStyle w:val="Default"/>
        <w:jc w:val="both"/>
        <w:rPr>
          <w:rFonts w:ascii="Times New Roman" w:hAnsi="Times New Roman" w:cs="Times New Roman"/>
          <w:i/>
          <w:color w:val="FF0000"/>
        </w:rPr>
      </w:pPr>
    </w:p>
    <w:p w14:paraId="51E174F2" w14:textId="7436CCEA" w:rsidR="00A209EA" w:rsidRPr="00546EB1" w:rsidRDefault="00524742" w:rsidP="00122E67">
      <w:pPr>
        <w:jc w:val="both"/>
      </w:pPr>
      <w:r>
        <w:t>Al respecto, también e</w:t>
      </w:r>
      <w:r w:rsidR="00A209EA" w:rsidRPr="00546EB1">
        <w:t>s importante señalar que al momento del estudio (noviembre 2017), se había reintegrado la suma de ¢ 1 956 777 981,21 por concepto de devoluciones realizados por la Juntas de Educación y Administrativas a la Caja Única del Estado. Es evidente que este monto eventualmente se incremente, en virtud que las Juntas de Educación y Administrativas deben cumplir al 100% con lo señalado en la circular DPE-571-16.</w:t>
      </w:r>
    </w:p>
    <w:p w14:paraId="515049B2" w14:textId="77777777" w:rsidR="00A209EA" w:rsidRPr="00546EB1" w:rsidRDefault="00A209EA" w:rsidP="00A209EA">
      <w:pPr>
        <w:jc w:val="both"/>
        <w:rPr>
          <w:sz w:val="22"/>
          <w:szCs w:val="22"/>
        </w:rPr>
      </w:pPr>
    </w:p>
    <w:p w14:paraId="10280D14" w14:textId="77777777" w:rsidR="00B8237B" w:rsidRPr="00546EB1" w:rsidRDefault="00FF6D45" w:rsidP="00FF6D45">
      <w:pPr>
        <w:autoSpaceDE w:val="0"/>
        <w:autoSpaceDN w:val="0"/>
        <w:adjustRightInd w:val="0"/>
        <w:jc w:val="both"/>
      </w:pPr>
      <w:r w:rsidRPr="00546EB1">
        <w:t xml:space="preserve">Al respecto, la </w:t>
      </w:r>
      <w:r w:rsidR="00B8237B" w:rsidRPr="00546EB1">
        <w:t>Ley de la Administración Financiera de la República y Presupuestos Públicos, 8131, artículo 5, inciso b), señala</w:t>
      </w:r>
      <w:r w:rsidRPr="00546EB1">
        <w:t xml:space="preserve"> </w:t>
      </w:r>
      <w:r w:rsidR="0041042B" w:rsidRPr="00546EB1">
        <w:t>que: “</w:t>
      </w:r>
      <w:r w:rsidR="00B8237B" w:rsidRPr="00546EB1">
        <w:rPr>
          <w:i/>
        </w:rPr>
        <w:t>La administración de los recursos financieros del sector público se orientará a los intereses generales de la sociedad, atendiendo los principios de economía, eficacia y eficiencia, con sometimiento pleno a la ley</w:t>
      </w:r>
      <w:r w:rsidRPr="00546EB1">
        <w:rPr>
          <w:i/>
        </w:rPr>
        <w:t>”</w:t>
      </w:r>
      <w:r w:rsidR="00B8237B" w:rsidRPr="00546EB1">
        <w:rPr>
          <w:i/>
        </w:rPr>
        <w:t>.</w:t>
      </w:r>
    </w:p>
    <w:p w14:paraId="6B8A82D1" w14:textId="77777777" w:rsidR="00FF6D45" w:rsidRPr="00546EB1" w:rsidRDefault="00FF6D45" w:rsidP="00B8237B">
      <w:pPr>
        <w:autoSpaceDE w:val="0"/>
        <w:autoSpaceDN w:val="0"/>
        <w:adjustRightInd w:val="0"/>
      </w:pPr>
    </w:p>
    <w:p w14:paraId="3BC981DD" w14:textId="77777777" w:rsidR="00FF6D45" w:rsidRPr="00546EB1" w:rsidRDefault="00B8237B" w:rsidP="0031155E">
      <w:pPr>
        <w:autoSpaceDE w:val="0"/>
        <w:autoSpaceDN w:val="0"/>
        <w:adjustRightInd w:val="0"/>
        <w:jc w:val="both"/>
        <w:rPr>
          <w:rFonts w:eastAsiaTheme="minorHAnsi"/>
          <w:lang w:eastAsia="en-US"/>
        </w:rPr>
      </w:pPr>
      <w:r w:rsidRPr="00546EB1">
        <w:t xml:space="preserve">Adicionalmente las Normas de </w:t>
      </w:r>
      <w:r w:rsidR="00FF6D45" w:rsidRPr="00546EB1">
        <w:t>C</w:t>
      </w:r>
      <w:r w:rsidRPr="00546EB1">
        <w:t xml:space="preserve">ontrol </w:t>
      </w:r>
      <w:r w:rsidR="00FF6D45" w:rsidRPr="00546EB1">
        <w:t>I</w:t>
      </w:r>
      <w:r w:rsidRPr="00546EB1">
        <w:t>nterno para el Sector Público</w:t>
      </w:r>
      <w:r w:rsidRPr="00546EB1">
        <w:rPr>
          <w:rFonts w:eastAsiaTheme="minorHAnsi"/>
          <w:lang w:eastAsia="en-US"/>
        </w:rPr>
        <w:t xml:space="preserve">, 4.1 </w:t>
      </w:r>
      <w:r w:rsidRPr="0052462F">
        <w:rPr>
          <w:rFonts w:eastAsiaTheme="minorHAnsi"/>
          <w:i/>
          <w:lang w:eastAsia="en-US"/>
        </w:rPr>
        <w:t>Actividad de Control</w:t>
      </w:r>
      <w:r w:rsidRPr="00546EB1">
        <w:rPr>
          <w:rFonts w:eastAsiaTheme="minorHAnsi"/>
          <w:lang w:eastAsia="en-US"/>
        </w:rPr>
        <w:t xml:space="preserve"> indica</w:t>
      </w:r>
      <w:r w:rsidR="00FF6D45" w:rsidRPr="00546EB1">
        <w:rPr>
          <w:rFonts w:eastAsiaTheme="minorHAnsi"/>
          <w:lang w:eastAsia="en-US"/>
        </w:rPr>
        <w:t xml:space="preserve"> que tanto el jerarca como los titulares subordinados deben establecer las actividades necesarias que permitan asegurar de forma razonable las </w:t>
      </w:r>
      <w:r w:rsidR="0031155E" w:rsidRPr="00546EB1">
        <w:rPr>
          <w:rFonts w:eastAsiaTheme="minorHAnsi"/>
          <w:lang w:eastAsia="en-US"/>
        </w:rPr>
        <w:t>operaciones y</w:t>
      </w:r>
      <w:r w:rsidR="00FF6D45" w:rsidRPr="00546EB1">
        <w:rPr>
          <w:rFonts w:eastAsiaTheme="minorHAnsi"/>
          <w:lang w:eastAsia="en-US"/>
        </w:rPr>
        <w:t xml:space="preserve"> el sistema de control interno</w:t>
      </w:r>
      <w:r w:rsidR="0031155E" w:rsidRPr="00546EB1">
        <w:rPr>
          <w:rFonts w:eastAsiaTheme="minorHAnsi"/>
          <w:lang w:eastAsia="en-US"/>
        </w:rPr>
        <w:t>,</w:t>
      </w:r>
      <w:r w:rsidR="00FF6D45" w:rsidRPr="00546EB1">
        <w:rPr>
          <w:rFonts w:eastAsiaTheme="minorHAnsi"/>
          <w:lang w:eastAsia="en-US"/>
        </w:rPr>
        <w:t xml:space="preserve"> con el fin de lograr los objetivos institucionales. </w:t>
      </w:r>
    </w:p>
    <w:p w14:paraId="417E0481" w14:textId="77777777" w:rsidR="00F43A84" w:rsidRPr="00DF7EF8" w:rsidRDefault="00F43A84" w:rsidP="00DF7EF8">
      <w:pPr>
        <w:pStyle w:val="Ttulo2"/>
        <w:jc w:val="both"/>
        <w:rPr>
          <w:sz w:val="24"/>
          <w:szCs w:val="24"/>
        </w:rPr>
      </w:pPr>
      <w:bookmarkStart w:id="9" w:name="_Toc3552500"/>
      <w:r w:rsidRPr="00DF7EF8">
        <w:rPr>
          <w:sz w:val="24"/>
          <w:szCs w:val="24"/>
        </w:rPr>
        <w:t xml:space="preserve">2.2 </w:t>
      </w:r>
      <w:bookmarkStart w:id="10" w:name="_Hlk530229666"/>
      <w:r w:rsidR="0060407F" w:rsidRPr="00DF7EF8">
        <w:rPr>
          <w:sz w:val="24"/>
          <w:szCs w:val="24"/>
        </w:rPr>
        <w:t xml:space="preserve">Deficiente coordinación entre </w:t>
      </w:r>
      <w:r w:rsidR="00585653" w:rsidRPr="00DF7EF8">
        <w:rPr>
          <w:sz w:val="24"/>
          <w:szCs w:val="24"/>
        </w:rPr>
        <w:t>i</w:t>
      </w:r>
      <w:r w:rsidR="0060407F" w:rsidRPr="00DF7EF8">
        <w:rPr>
          <w:sz w:val="24"/>
          <w:szCs w:val="24"/>
        </w:rPr>
        <w:t>nstancias internas</w:t>
      </w:r>
      <w:bookmarkEnd w:id="9"/>
    </w:p>
    <w:bookmarkEnd w:id="10"/>
    <w:p w14:paraId="2E665B7E" w14:textId="77777777" w:rsidR="00FF6D45" w:rsidRPr="00546EB1" w:rsidRDefault="00FF6D45" w:rsidP="004A72D5">
      <w:pPr>
        <w:autoSpaceDE w:val="0"/>
        <w:autoSpaceDN w:val="0"/>
        <w:adjustRightInd w:val="0"/>
        <w:jc w:val="both"/>
        <w:rPr>
          <w:color w:val="000000"/>
        </w:rPr>
      </w:pPr>
      <w:r w:rsidRPr="00546EB1">
        <w:rPr>
          <w:color w:val="000000"/>
        </w:rPr>
        <w:t>Tras el proceso de revisión también se evidenció que impera una d</w:t>
      </w:r>
      <w:r w:rsidR="004A72D5" w:rsidRPr="00546EB1">
        <w:rPr>
          <w:color w:val="000000"/>
        </w:rPr>
        <w:t>eficiente coordinación y comunicación entre la Dirección de Programas de Equidad, Viceministerio de Planificación y Coordinación Regional, Dirección Financiera y Dirección de Gestión Regional</w:t>
      </w:r>
      <w:r w:rsidRPr="00546EB1">
        <w:rPr>
          <w:color w:val="000000"/>
        </w:rPr>
        <w:t>, esto</w:t>
      </w:r>
      <w:r w:rsidR="004A72D5" w:rsidRPr="00546EB1">
        <w:rPr>
          <w:color w:val="000000"/>
        </w:rPr>
        <w:t xml:space="preserve"> en cuanto al tratamiento, control y supervisión</w:t>
      </w:r>
      <w:r w:rsidR="008E54B5" w:rsidRPr="00546EB1">
        <w:rPr>
          <w:color w:val="000000"/>
        </w:rPr>
        <w:t xml:space="preserve"> </w:t>
      </w:r>
      <w:r w:rsidR="004A72D5" w:rsidRPr="00546EB1">
        <w:rPr>
          <w:color w:val="000000"/>
        </w:rPr>
        <w:t xml:space="preserve">de la información contable proveniente de los recursos de </w:t>
      </w:r>
      <w:r w:rsidR="00E26748" w:rsidRPr="00546EB1">
        <w:rPr>
          <w:color w:val="000000"/>
        </w:rPr>
        <w:t xml:space="preserve">Programa de </w:t>
      </w:r>
      <w:r w:rsidR="004A72D5" w:rsidRPr="00546EB1">
        <w:rPr>
          <w:color w:val="000000"/>
        </w:rPr>
        <w:t xml:space="preserve">Equidad. </w:t>
      </w:r>
    </w:p>
    <w:p w14:paraId="27D0CC1D" w14:textId="77777777" w:rsidR="00FF6D45" w:rsidRPr="00546EB1" w:rsidRDefault="00FF6D45" w:rsidP="004A72D5">
      <w:pPr>
        <w:autoSpaceDE w:val="0"/>
        <w:autoSpaceDN w:val="0"/>
        <w:adjustRightInd w:val="0"/>
        <w:jc w:val="both"/>
        <w:rPr>
          <w:color w:val="000000"/>
        </w:rPr>
      </w:pPr>
    </w:p>
    <w:p w14:paraId="17FCD0F6" w14:textId="38291B3F" w:rsidR="004A72D5" w:rsidRPr="00546EB1" w:rsidRDefault="004A72D5" w:rsidP="004A72D5">
      <w:pPr>
        <w:autoSpaceDE w:val="0"/>
        <w:autoSpaceDN w:val="0"/>
        <w:adjustRightInd w:val="0"/>
        <w:jc w:val="both"/>
        <w:rPr>
          <w:color w:val="000000"/>
        </w:rPr>
      </w:pPr>
      <w:r w:rsidRPr="00546EB1">
        <w:rPr>
          <w:color w:val="000000"/>
        </w:rPr>
        <w:t xml:space="preserve">Al respecto, se reseña una serie de documentos que fueron generados por dichas instancias, lo cual prevé la incongruencia en </w:t>
      </w:r>
      <w:r w:rsidR="00E26748" w:rsidRPr="00546EB1">
        <w:rPr>
          <w:color w:val="000000"/>
        </w:rPr>
        <w:t>el accionar</w:t>
      </w:r>
      <w:r w:rsidR="00FF6D45" w:rsidRPr="00546EB1">
        <w:rPr>
          <w:color w:val="000000"/>
        </w:rPr>
        <w:t xml:space="preserve"> entre dichas Instancias, a saber</w:t>
      </w:r>
      <w:r w:rsidR="00E26748" w:rsidRPr="00546EB1">
        <w:rPr>
          <w:color w:val="000000"/>
        </w:rPr>
        <w:t>:</w:t>
      </w:r>
    </w:p>
    <w:p w14:paraId="58E91CB8" w14:textId="286ADF27" w:rsidR="004A72D5" w:rsidRPr="00546EB1" w:rsidRDefault="004A72D5" w:rsidP="004A72D5">
      <w:pPr>
        <w:autoSpaceDE w:val="0"/>
        <w:autoSpaceDN w:val="0"/>
        <w:adjustRightInd w:val="0"/>
        <w:jc w:val="both"/>
        <w:rPr>
          <w:color w:val="000000"/>
        </w:rPr>
      </w:pPr>
      <w:r w:rsidRPr="00546EB1">
        <w:rPr>
          <w:color w:val="000000"/>
        </w:rPr>
        <w:lastRenderedPageBreak/>
        <w:t xml:space="preserve">En el año 2014: Mediante circular DVM-PICR-0027-10-2014, </w:t>
      </w:r>
      <w:r w:rsidR="00072714" w:rsidRPr="00546EB1">
        <w:rPr>
          <w:color w:val="000000"/>
        </w:rPr>
        <w:t>de fecha 2 de octubre de 201</w:t>
      </w:r>
      <w:r w:rsidR="001860D2">
        <w:rPr>
          <w:color w:val="000000"/>
        </w:rPr>
        <w:t>4</w:t>
      </w:r>
      <w:r w:rsidR="00072714" w:rsidRPr="00546EB1">
        <w:rPr>
          <w:color w:val="000000"/>
        </w:rPr>
        <w:t>, respecto</w:t>
      </w:r>
      <w:r w:rsidRPr="00546EB1">
        <w:rPr>
          <w:color w:val="000000"/>
        </w:rPr>
        <w:t xml:space="preserve"> a</w:t>
      </w:r>
      <w:r w:rsidRPr="00546EB1">
        <w:rPr>
          <w:color w:val="000000"/>
          <w:sz w:val="22"/>
          <w:szCs w:val="22"/>
        </w:rPr>
        <w:t xml:space="preserve"> </w:t>
      </w:r>
      <w:r w:rsidRPr="00546EB1">
        <w:rPr>
          <w:color w:val="000000"/>
        </w:rPr>
        <w:t>“</w:t>
      </w:r>
      <w:r w:rsidRPr="00546EB1">
        <w:rPr>
          <w:i/>
          <w:color w:val="000000"/>
        </w:rPr>
        <w:t>Lineamientos para el control de los recursos financieros administrados por las Juntas de Educación y Juntas Administrativas”</w:t>
      </w:r>
      <w:r w:rsidRPr="00546EB1">
        <w:rPr>
          <w:color w:val="000000"/>
          <w:sz w:val="22"/>
          <w:szCs w:val="22"/>
        </w:rPr>
        <w:t xml:space="preserve"> </w:t>
      </w:r>
      <w:r w:rsidR="00072714" w:rsidRPr="00546EB1">
        <w:rPr>
          <w:color w:val="000000"/>
          <w:sz w:val="22"/>
          <w:szCs w:val="22"/>
        </w:rPr>
        <w:t xml:space="preserve">y </w:t>
      </w:r>
      <w:r w:rsidRPr="00546EB1">
        <w:rPr>
          <w:color w:val="000000"/>
        </w:rPr>
        <w:t>suscrit</w:t>
      </w:r>
      <w:r w:rsidR="00072714" w:rsidRPr="00546EB1">
        <w:rPr>
          <w:color w:val="000000"/>
        </w:rPr>
        <w:t>o</w:t>
      </w:r>
      <w:r w:rsidRPr="00546EB1">
        <w:rPr>
          <w:color w:val="000000"/>
        </w:rPr>
        <w:t xml:space="preserve"> por el Viceministro de Planificación Institucional y Coordinación Regional y dirigida a los Jefes de Departamento de Servicios Administrativos y Financieros (DESAF), Direct</w:t>
      </w:r>
      <w:r w:rsidR="00072714" w:rsidRPr="00546EB1">
        <w:rPr>
          <w:color w:val="000000"/>
        </w:rPr>
        <w:t>ores (es) de oficinas centrales. En</w:t>
      </w:r>
      <w:r w:rsidRPr="00546EB1">
        <w:rPr>
          <w:color w:val="000000"/>
        </w:rPr>
        <w:t xml:space="preserve"> el numeral IV “</w:t>
      </w:r>
      <w:r w:rsidRPr="00546EB1">
        <w:rPr>
          <w:i/>
          <w:color w:val="000000"/>
        </w:rPr>
        <w:t>Lineamientos para la elaboración y presentación del informe Trimestral de Saldos de recursos que administran las Juntas de Educación y Juntas Administrativas”,</w:t>
      </w:r>
      <w:r w:rsidRPr="00546EB1">
        <w:rPr>
          <w:color w:val="000000"/>
        </w:rPr>
        <w:t xml:space="preserve"> </w:t>
      </w:r>
      <w:r w:rsidR="00072714" w:rsidRPr="00546EB1">
        <w:rPr>
          <w:color w:val="000000"/>
        </w:rPr>
        <w:t>señala</w:t>
      </w:r>
      <w:r w:rsidRPr="00546EB1">
        <w:rPr>
          <w:color w:val="000000"/>
        </w:rPr>
        <w:t xml:space="preserve"> que el DSAF de cada Dirección Regional debe preparar el informe trimestral de saldos para cada una de las Juntas de Educación y Juntas Administrativas y posteriormente debe </w:t>
      </w:r>
      <w:r w:rsidR="00072714" w:rsidRPr="00546EB1">
        <w:rPr>
          <w:color w:val="000000"/>
        </w:rPr>
        <w:t>ser remitido</w:t>
      </w:r>
      <w:r w:rsidRPr="00546EB1">
        <w:rPr>
          <w:color w:val="000000"/>
        </w:rPr>
        <w:t xml:space="preserve"> al Departamento de Gestión de Juntas según el formato que se indica en el anexo No. </w:t>
      </w:r>
      <w:r w:rsidR="00FF6D45" w:rsidRPr="00546EB1">
        <w:rPr>
          <w:color w:val="000000"/>
        </w:rPr>
        <w:t>1</w:t>
      </w:r>
      <w:r w:rsidR="0060407F" w:rsidRPr="00546EB1">
        <w:rPr>
          <w:color w:val="000000"/>
        </w:rPr>
        <w:t>, sin embargo, c</w:t>
      </w:r>
      <w:r w:rsidRPr="00546EB1">
        <w:rPr>
          <w:color w:val="000000"/>
        </w:rPr>
        <w:t>omo se aprecia en el cuadro, los saldos según fuente de financiamiento son generales</w:t>
      </w:r>
      <w:r w:rsidR="00072714" w:rsidRPr="00546EB1">
        <w:rPr>
          <w:color w:val="000000"/>
        </w:rPr>
        <w:t xml:space="preserve">, </w:t>
      </w:r>
      <w:r w:rsidR="0060407F" w:rsidRPr="00546EB1">
        <w:rPr>
          <w:color w:val="000000"/>
        </w:rPr>
        <w:t xml:space="preserve">y no </w:t>
      </w:r>
      <w:r w:rsidR="00072714" w:rsidRPr="00546EB1">
        <w:rPr>
          <w:color w:val="000000"/>
        </w:rPr>
        <w:t>detallan</w:t>
      </w:r>
      <w:r w:rsidRPr="00546EB1">
        <w:rPr>
          <w:color w:val="000000"/>
        </w:rPr>
        <w:t xml:space="preserve"> si pertenecen a superávit libre o específico</w:t>
      </w:r>
      <w:r w:rsidR="0060407F" w:rsidRPr="00546EB1">
        <w:rPr>
          <w:color w:val="000000"/>
        </w:rPr>
        <w:t xml:space="preserve">, situación que limita </w:t>
      </w:r>
      <w:r w:rsidR="007658F6" w:rsidRPr="00546EB1">
        <w:rPr>
          <w:color w:val="000000"/>
        </w:rPr>
        <w:t>el análisis de los datos en forma más detallada</w:t>
      </w:r>
      <w:r w:rsidR="00A6131D">
        <w:rPr>
          <w:color w:val="000000"/>
        </w:rPr>
        <w:t>.</w:t>
      </w:r>
    </w:p>
    <w:p w14:paraId="01FFB742" w14:textId="77777777" w:rsidR="004A72D5" w:rsidRPr="00546EB1" w:rsidRDefault="004A72D5" w:rsidP="004A72D5">
      <w:pPr>
        <w:autoSpaceDE w:val="0"/>
        <w:autoSpaceDN w:val="0"/>
        <w:adjustRightInd w:val="0"/>
        <w:jc w:val="both"/>
        <w:rPr>
          <w:color w:val="000000"/>
        </w:rPr>
      </w:pPr>
    </w:p>
    <w:p w14:paraId="4A260E7B" w14:textId="51439AA6" w:rsidR="004A72D5" w:rsidRPr="00546EB1" w:rsidRDefault="004A72D5" w:rsidP="004A72D5">
      <w:pPr>
        <w:autoSpaceDE w:val="0"/>
        <w:autoSpaceDN w:val="0"/>
        <w:adjustRightInd w:val="0"/>
        <w:jc w:val="both"/>
        <w:rPr>
          <w:color w:val="000000"/>
        </w:rPr>
      </w:pPr>
      <w:r w:rsidRPr="00546EB1">
        <w:rPr>
          <w:color w:val="000000"/>
        </w:rPr>
        <w:t>Ahora bien, mediante la Circular DPE-104-2016 del 19 de febrero de 2016</w:t>
      </w:r>
      <w:r w:rsidR="00072714" w:rsidRPr="00546EB1">
        <w:rPr>
          <w:color w:val="000000"/>
        </w:rPr>
        <w:t xml:space="preserve"> sobre “</w:t>
      </w:r>
      <w:r w:rsidR="00072714" w:rsidRPr="00546EB1">
        <w:rPr>
          <w:i/>
          <w:color w:val="000000"/>
        </w:rPr>
        <w:t>Recursos tra</w:t>
      </w:r>
      <w:r w:rsidR="00445135">
        <w:rPr>
          <w:i/>
          <w:color w:val="000000"/>
        </w:rPr>
        <w:t>n</w:t>
      </w:r>
      <w:r w:rsidR="00072714" w:rsidRPr="00546EB1">
        <w:rPr>
          <w:i/>
          <w:color w:val="000000"/>
        </w:rPr>
        <w:t>sferidos por la Dirección de Programas de Equidad que no fueron ejecutados y no están comprometidos al 31 de diciembre de 2015</w:t>
      </w:r>
      <w:r w:rsidR="00A17E65" w:rsidRPr="00546EB1">
        <w:rPr>
          <w:i/>
          <w:color w:val="000000"/>
        </w:rPr>
        <w:t xml:space="preserve">”, </w:t>
      </w:r>
      <w:r w:rsidR="00A17E65" w:rsidRPr="00546EB1">
        <w:rPr>
          <w:color w:val="000000"/>
        </w:rPr>
        <w:t>la</w:t>
      </w:r>
      <w:r w:rsidRPr="00546EB1">
        <w:rPr>
          <w:color w:val="000000"/>
        </w:rPr>
        <w:t xml:space="preserve"> Dirección de Programas de Equidad solicita a las Direcciones Regionales, Juntas de Educación y Juntas Administrativas, presentar una certificación del Tesorero Contador de la respectiva Junta que detalle los recursos acumulados que no fueron ejecutados y no están comprometidos al 31 de diciembre de 2015. </w:t>
      </w:r>
    </w:p>
    <w:p w14:paraId="310664AC" w14:textId="77777777" w:rsidR="004A72D5" w:rsidRPr="00546EB1" w:rsidRDefault="004A72D5" w:rsidP="004A72D5">
      <w:pPr>
        <w:autoSpaceDE w:val="0"/>
        <w:autoSpaceDN w:val="0"/>
        <w:adjustRightInd w:val="0"/>
        <w:jc w:val="both"/>
        <w:rPr>
          <w:color w:val="000000"/>
        </w:rPr>
      </w:pPr>
    </w:p>
    <w:p w14:paraId="5D50D8C0" w14:textId="77777777" w:rsidR="004A72D5" w:rsidRPr="00546EB1" w:rsidRDefault="004A72D5" w:rsidP="004A72D5">
      <w:pPr>
        <w:pStyle w:val="Default"/>
        <w:jc w:val="both"/>
        <w:rPr>
          <w:rFonts w:ascii="Times New Roman" w:hAnsi="Times New Roman" w:cs="Times New Roman"/>
        </w:rPr>
      </w:pPr>
      <w:r w:rsidRPr="00546EB1">
        <w:rPr>
          <w:rFonts w:ascii="Times New Roman" w:hAnsi="Times New Roman" w:cs="Times New Roman"/>
        </w:rPr>
        <w:t xml:space="preserve">Adicionalmente mediante oficio DF-DGJ-0627-06-2015 del 28 de junio de 2016 suscrito por el Departamento Gestión de Juntas de la Dirección Financiera y dirigida a la Directora Programas de Equidad se remite los Informes del Cuarto Trimestre del 2015 y Primer Trimestre del 2016. </w:t>
      </w:r>
      <w:r w:rsidRPr="00546EB1">
        <w:rPr>
          <w:rFonts w:ascii="Times New Roman" w:hAnsi="Times New Roman"/>
        </w:rPr>
        <w:t>En ellos se muestra la tabulación de los datos relacionados con la disponibilidad de recursos de los rubros de Programas de Equidad en las cuentas corrientes de las Juntas de Educación y Juntas Administrativas</w:t>
      </w:r>
      <w:r w:rsidR="0060407F" w:rsidRPr="00546EB1">
        <w:rPr>
          <w:rFonts w:ascii="Times New Roman" w:hAnsi="Times New Roman"/>
        </w:rPr>
        <w:t>,</w:t>
      </w:r>
      <w:r w:rsidRPr="00546EB1">
        <w:rPr>
          <w:rFonts w:ascii="Times New Roman" w:hAnsi="Times New Roman"/>
        </w:rPr>
        <w:t xml:space="preserve"> que tienen que ver con saldos acumulados que presentaron </w:t>
      </w:r>
      <w:r w:rsidR="00304DFA" w:rsidRPr="00546EB1">
        <w:rPr>
          <w:rFonts w:ascii="Times New Roman" w:hAnsi="Times New Roman"/>
        </w:rPr>
        <w:t xml:space="preserve">a </w:t>
      </w:r>
      <w:r w:rsidRPr="00546EB1">
        <w:rPr>
          <w:rFonts w:ascii="Times New Roman" w:hAnsi="Times New Roman"/>
        </w:rPr>
        <w:t>las Direcciones Regionales</w:t>
      </w:r>
      <w:r w:rsidR="00304DFA" w:rsidRPr="00546EB1">
        <w:rPr>
          <w:rFonts w:ascii="Times New Roman" w:hAnsi="Times New Roman"/>
        </w:rPr>
        <w:t xml:space="preserve"> de Educación</w:t>
      </w:r>
      <w:r w:rsidRPr="00546EB1">
        <w:rPr>
          <w:rFonts w:ascii="Times New Roman" w:hAnsi="Times New Roman"/>
        </w:rPr>
        <w:t>.</w:t>
      </w:r>
    </w:p>
    <w:p w14:paraId="0198156C" w14:textId="77777777" w:rsidR="004A72D5" w:rsidRPr="00546EB1" w:rsidRDefault="004A72D5" w:rsidP="004A72D5">
      <w:pPr>
        <w:autoSpaceDE w:val="0"/>
        <w:autoSpaceDN w:val="0"/>
        <w:adjustRightInd w:val="0"/>
        <w:jc w:val="both"/>
        <w:rPr>
          <w:color w:val="000000"/>
        </w:rPr>
      </w:pPr>
    </w:p>
    <w:p w14:paraId="427A7147" w14:textId="77777777" w:rsidR="004A72D5" w:rsidRPr="00546EB1" w:rsidRDefault="004A72D5" w:rsidP="004A72D5">
      <w:pPr>
        <w:autoSpaceDE w:val="0"/>
        <w:autoSpaceDN w:val="0"/>
        <w:adjustRightInd w:val="0"/>
        <w:jc w:val="both"/>
        <w:rPr>
          <w:color w:val="000000"/>
        </w:rPr>
      </w:pPr>
      <w:r w:rsidRPr="00546EB1">
        <w:rPr>
          <w:color w:val="000000"/>
        </w:rPr>
        <w:t>Por otro lado, mediante la Circular DPE-482-2016</w:t>
      </w:r>
      <w:r w:rsidR="00304DFA" w:rsidRPr="00546EB1">
        <w:rPr>
          <w:color w:val="000000"/>
        </w:rPr>
        <w:t xml:space="preserve"> del 28 de julio de 2016</w:t>
      </w:r>
      <w:r w:rsidRPr="00546EB1">
        <w:rPr>
          <w:color w:val="000000"/>
        </w:rPr>
        <w:t>, denominada:</w:t>
      </w:r>
      <w:r w:rsidRPr="00546EB1">
        <w:rPr>
          <w:color w:val="000000"/>
          <w:sz w:val="22"/>
          <w:szCs w:val="22"/>
        </w:rPr>
        <w:t xml:space="preserve"> </w:t>
      </w:r>
      <w:r w:rsidRPr="00546EB1">
        <w:rPr>
          <w:i/>
          <w:color w:val="000000"/>
        </w:rPr>
        <w:t>“Emisión del lineamiento para la revisión y análisis de la ejecución presupuestaria de los Programas de Equidad,...”</w:t>
      </w:r>
      <w:r w:rsidRPr="00546EB1">
        <w:rPr>
          <w:color w:val="000000"/>
          <w:sz w:val="22"/>
          <w:szCs w:val="22"/>
        </w:rPr>
        <w:t xml:space="preserve"> </w:t>
      </w:r>
      <w:r w:rsidRPr="00546EB1">
        <w:rPr>
          <w:color w:val="000000"/>
        </w:rPr>
        <w:t>del 28 de julio de 2016, indica:</w:t>
      </w:r>
    </w:p>
    <w:p w14:paraId="6E588E9A" w14:textId="77777777" w:rsidR="004A72D5" w:rsidRPr="00546EB1" w:rsidRDefault="004A72D5" w:rsidP="004A72D5">
      <w:pPr>
        <w:autoSpaceDE w:val="0"/>
        <w:autoSpaceDN w:val="0"/>
        <w:adjustRightInd w:val="0"/>
        <w:jc w:val="both"/>
        <w:rPr>
          <w:color w:val="000000"/>
          <w:sz w:val="22"/>
          <w:szCs w:val="22"/>
        </w:rPr>
      </w:pPr>
    </w:p>
    <w:p w14:paraId="56639F22" w14:textId="77777777" w:rsidR="004A72D5" w:rsidRPr="00546EB1" w:rsidRDefault="004A72D5" w:rsidP="00036AE8">
      <w:pPr>
        <w:autoSpaceDE w:val="0"/>
        <w:autoSpaceDN w:val="0"/>
        <w:adjustRightInd w:val="0"/>
        <w:ind w:left="567"/>
        <w:jc w:val="both"/>
        <w:rPr>
          <w:i/>
          <w:color w:val="000000"/>
          <w:sz w:val="22"/>
          <w:szCs w:val="22"/>
        </w:rPr>
      </w:pPr>
      <w:r w:rsidRPr="00546EB1">
        <w:rPr>
          <w:i/>
          <w:color w:val="000000"/>
          <w:sz w:val="22"/>
          <w:szCs w:val="22"/>
        </w:rPr>
        <w:t>Es deber de las Juntas de Educación y Juntas Administrativas continuar sus procesos de aprobación y control presupuestario según lo normado a través del documento denominado “Lineamientos para el control de los recursos financieros administrados por las Juntas de Educación y Juntas Administrativas”; considerando como únicos formatos para el control presupuestario de los Programas de Equidad, los establecidos en dicho documento.</w:t>
      </w:r>
    </w:p>
    <w:p w14:paraId="46DCB87D" w14:textId="77777777" w:rsidR="0060407F" w:rsidRPr="00546EB1" w:rsidRDefault="0060407F" w:rsidP="004A72D5">
      <w:pPr>
        <w:autoSpaceDE w:val="0"/>
        <w:autoSpaceDN w:val="0"/>
        <w:adjustRightInd w:val="0"/>
        <w:jc w:val="both"/>
        <w:rPr>
          <w:color w:val="000000"/>
        </w:rPr>
      </w:pPr>
    </w:p>
    <w:p w14:paraId="1C9E64C9" w14:textId="77777777" w:rsidR="004A72D5" w:rsidRPr="00546EB1" w:rsidRDefault="004A72D5" w:rsidP="004A72D5">
      <w:pPr>
        <w:autoSpaceDE w:val="0"/>
        <w:autoSpaceDN w:val="0"/>
        <w:adjustRightInd w:val="0"/>
        <w:jc w:val="both"/>
        <w:rPr>
          <w:color w:val="000000"/>
        </w:rPr>
      </w:pPr>
      <w:r w:rsidRPr="00546EB1">
        <w:rPr>
          <w:color w:val="000000"/>
        </w:rPr>
        <w:t>Adicionalmente en el punto 6, indica:</w:t>
      </w:r>
    </w:p>
    <w:p w14:paraId="038D308A" w14:textId="77777777" w:rsidR="004A72D5" w:rsidRPr="00546EB1" w:rsidRDefault="004A72D5" w:rsidP="004A72D5">
      <w:pPr>
        <w:autoSpaceDE w:val="0"/>
        <w:autoSpaceDN w:val="0"/>
        <w:adjustRightInd w:val="0"/>
        <w:ind w:left="567"/>
        <w:jc w:val="both"/>
        <w:rPr>
          <w:color w:val="000000"/>
          <w:sz w:val="22"/>
          <w:szCs w:val="22"/>
        </w:rPr>
      </w:pPr>
    </w:p>
    <w:p w14:paraId="5A8BD67A" w14:textId="77777777" w:rsidR="004A72D5" w:rsidRPr="00546EB1" w:rsidRDefault="004A72D5" w:rsidP="004A72D5">
      <w:pPr>
        <w:autoSpaceDE w:val="0"/>
        <w:autoSpaceDN w:val="0"/>
        <w:adjustRightInd w:val="0"/>
        <w:ind w:left="567"/>
        <w:jc w:val="both"/>
        <w:rPr>
          <w:i/>
          <w:color w:val="000000"/>
          <w:sz w:val="22"/>
          <w:szCs w:val="22"/>
        </w:rPr>
      </w:pPr>
      <w:r w:rsidRPr="00546EB1">
        <w:rPr>
          <w:i/>
          <w:color w:val="000000"/>
          <w:sz w:val="22"/>
          <w:szCs w:val="22"/>
        </w:rPr>
        <w:t>Una vez que las Direcciones Regionales de Educación presenten trimestralmente el informe de saldos por fuente de financiamiento al Departamento de Gestión de Juntas de la Dirección Financiera, ésta comunicará oportunamente el resultado del análisis a la Dirección de Programas de Equidad…</w:t>
      </w:r>
    </w:p>
    <w:p w14:paraId="41AFF6F0" w14:textId="77777777" w:rsidR="004A72D5" w:rsidRPr="00546EB1" w:rsidRDefault="004A72D5" w:rsidP="004A72D5">
      <w:pPr>
        <w:autoSpaceDE w:val="0"/>
        <w:autoSpaceDN w:val="0"/>
        <w:adjustRightInd w:val="0"/>
        <w:jc w:val="both"/>
        <w:rPr>
          <w:color w:val="000000"/>
          <w:sz w:val="22"/>
          <w:szCs w:val="22"/>
        </w:rPr>
      </w:pPr>
    </w:p>
    <w:p w14:paraId="16A12F41" w14:textId="77777777" w:rsidR="00304DFA" w:rsidRPr="00546EB1" w:rsidRDefault="004A72D5" w:rsidP="004A72D5">
      <w:pPr>
        <w:autoSpaceDE w:val="0"/>
        <w:autoSpaceDN w:val="0"/>
        <w:adjustRightInd w:val="0"/>
        <w:jc w:val="both"/>
        <w:rPr>
          <w:color w:val="000000"/>
        </w:rPr>
      </w:pPr>
      <w:r w:rsidRPr="00546EB1">
        <w:rPr>
          <w:color w:val="000000"/>
        </w:rPr>
        <w:lastRenderedPageBreak/>
        <w:t>Además la Dirección de Programas de Equidad hace una petitoria mediante oficio DPE-238-2017 del 2 de mayo de 2017, a la Dirección Financiera en referencia al oficio DF-DGJ-0627-06-2015 respecto a establecer un criterio que debe ser aplicado para los restantes Juntas de Educación y Administrativas que faltan de depositar a la Caja Única del Estado, con el objeto de identificar si los saldos que reportan son o no comprometidos. Esto en virtud que en los informe de marras c</w:t>
      </w:r>
      <w:r w:rsidR="00304DFA" w:rsidRPr="00546EB1">
        <w:rPr>
          <w:color w:val="000000"/>
        </w:rPr>
        <w:t xml:space="preserve">laramente no se logra consignar </w:t>
      </w:r>
      <w:r w:rsidR="00F06BC0" w:rsidRPr="00546EB1">
        <w:rPr>
          <w:color w:val="000000"/>
        </w:rPr>
        <w:t>ni</w:t>
      </w:r>
      <w:r w:rsidR="00304DFA" w:rsidRPr="00546EB1">
        <w:rPr>
          <w:color w:val="000000"/>
        </w:rPr>
        <w:t xml:space="preserve"> identificar. </w:t>
      </w:r>
    </w:p>
    <w:p w14:paraId="1E26E20B" w14:textId="276E3CFB" w:rsidR="004A72D5" w:rsidRPr="00546EB1" w:rsidRDefault="004A72D5" w:rsidP="004A72D5">
      <w:pPr>
        <w:autoSpaceDE w:val="0"/>
        <w:autoSpaceDN w:val="0"/>
        <w:adjustRightInd w:val="0"/>
        <w:jc w:val="both"/>
        <w:rPr>
          <w:color w:val="000000"/>
        </w:rPr>
      </w:pPr>
      <w:r w:rsidRPr="00546EB1">
        <w:rPr>
          <w:color w:val="000000"/>
        </w:rPr>
        <w:t xml:space="preserve">Es importante hacer hincapié que en los </w:t>
      </w:r>
      <w:r w:rsidRPr="00546EB1">
        <w:rPr>
          <w:i/>
          <w:color w:val="000000"/>
        </w:rPr>
        <w:t>“Lineamientos para el control de los recursos financieros administrados por las Juntas de Educación y Juntas Administrativas”</w:t>
      </w:r>
      <w:r w:rsidR="00645A30" w:rsidRPr="00546EB1">
        <w:rPr>
          <w:i/>
          <w:color w:val="000000"/>
        </w:rPr>
        <w:t>,</w:t>
      </w:r>
      <w:r w:rsidR="00645A30" w:rsidRPr="00546EB1">
        <w:rPr>
          <w:color w:val="000000"/>
        </w:rPr>
        <w:t xml:space="preserve"> muestra</w:t>
      </w:r>
      <w:r w:rsidRPr="00546EB1">
        <w:rPr>
          <w:color w:val="000000"/>
        </w:rPr>
        <w:t xml:space="preserve"> l</w:t>
      </w:r>
      <w:r w:rsidR="00645A30">
        <w:rPr>
          <w:color w:val="000000"/>
        </w:rPr>
        <w:t>os</w:t>
      </w:r>
      <w:r w:rsidRPr="00546EB1">
        <w:rPr>
          <w:color w:val="000000"/>
        </w:rPr>
        <w:t xml:space="preserve"> formato</w:t>
      </w:r>
      <w:r w:rsidR="00645A30">
        <w:rPr>
          <w:color w:val="000000"/>
        </w:rPr>
        <w:t>s</w:t>
      </w:r>
      <w:r w:rsidRPr="00546EB1">
        <w:rPr>
          <w:color w:val="000000"/>
        </w:rPr>
        <w:t xml:space="preserve"> de cómo las Juntas de Educación y Juntas Administrativas deben remitir la información de saldos, según fuente de financiamiento, a las Direcciones Regionales. No obstante, esta Auditoría Interna considera pertinente evaluar dicho</w:t>
      </w:r>
      <w:r w:rsidR="00645A30">
        <w:rPr>
          <w:color w:val="000000"/>
        </w:rPr>
        <w:t>s</w:t>
      </w:r>
      <w:r w:rsidRPr="00546EB1">
        <w:rPr>
          <w:color w:val="000000"/>
        </w:rPr>
        <w:t xml:space="preserve"> instrumento</w:t>
      </w:r>
      <w:r w:rsidR="00645A30">
        <w:rPr>
          <w:color w:val="000000"/>
        </w:rPr>
        <w:t>s</w:t>
      </w:r>
      <w:r w:rsidRPr="00546EB1">
        <w:rPr>
          <w:color w:val="000000"/>
        </w:rPr>
        <w:t xml:space="preserve"> a fin incluir más requerimientos claros, precisos y concisos, de modo que sea una herramienta importante que agregue valor para la toma de decisiones. </w:t>
      </w:r>
    </w:p>
    <w:p w14:paraId="54BA8F58" w14:textId="77777777" w:rsidR="004A72D5" w:rsidRPr="00546EB1" w:rsidRDefault="004A72D5" w:rsidP="004A72D5">
      <w:pPr>
        <w:autoSpaceDE w:val="0"/>
        <w:autoSpaceDN w:val="0"/>
        <w:adjustRightInd w:val="0"/>
        <w:jc w:val="both"/>
        <w:rPr>
          <w:color w:val="000000"/>
        </w:rPr>
      </w:pPr>
      <w:r w:rsidRPr="00546EB1">
        <w:rPr>
          <w:color w:val="000000"/>
        </w:rPr>
        <w:t xml:space="preserve">En otro orden de ideas, mediante oficio DPE-677-2017 del 27 de octubre de 2017 y dirigida al señor </w:t>
      </w:r>
      <w:r w:rsidR="00385606" w:rsidRPr="00546EB1">
        <w:rPr>
          <w:color w:val="000000"/>
        </w:rPr>
        <w:t>ex</w:t>
      </w:r>
      <w:r w:rsidR="004C4C40">
        <w:rPr>
          <w:color w:val="000000"/>
        </w:rPr>
        <w:t xml:space="preserve"> </w:t>
      </w:r>
      <w:r w:rsidRPr="00546EB1">
        <w:rPr>
          <w:color w:val="000000"/>
        </w:rPr>
        <w:t>Viceministro de Planificación Institucional y Coordinación Regional, la Directora de Programas de Equidad</w:t>
      </w:r>
      <w:r w:rsidR="0031155E" w:rsidRPr="00546EB1">
        <w:rPr>
          <w:color w:val="000000"/>
        </w:rPr>
        <w:t xml:space="preserve"> en ese momento,</w:t>
      </w:r>
      <w:r w:rsidRPr="00546EB1">
        <w:rPr>
          <w:color w:val="000000"/>
        </w:rPr>
        <w:t xml:space="preserve"> solicita que la circular DF-0007-2017 del 19 de octubre de 2017, emitida por la Directora Financiera </w:t>
      </w:r>
      <w:r w:rsidR="00A32108" w:rsidRPr="00546EB1">
        <w:rPr>
          <w:color w:val="000000"/>
        </w:rPr>
        <w:t xml:space="preserve">en cuanto a: </w:t>
      </w:r>
      <w:r w:rsidRPr="00546EB1">
        <w:rPr>
          <w:color w:val="000000"/>
        </w:rPr>
        <w:t>“</w:t>
      </w:r>
      <w:r w:rsidRPr="00546EB1">
        <w:rPr>
          <w:i/>
          <w:color w:val="000000"/>
        </w:rPr>
        <w:t>Recordatorio sobre cuenta bancaria destinada a recursos de FODESAF</w:t>
      </w:r>
      <w:r w:rsidRPr="00546EB1">
        <w:rPr>
          <w:color w:val="000000"/>
        </w:rPr>
        <w:t xml:space="preserve">” sea modificada, esto en razón que es a la Dirección de Programas de Equidad la instancia que le corresponde el dictar los lineamientos técnicos, directrices y manuales de procedimientos para orientar la asignación, ejecución, supervisión y control de los recursos canalizados para financiar el Programa de Alimentación y Nutrición del Escolar y del Adolescente, como bien lo indica en el mismo oficio </w:t>
      </w:r>
      <w:r w:rsidR="00A32108" w:rsidRPr="00546EB1">
        <w:rPr>
          <w:color w:val="000000"/>
        </w:rPr>
        <w:t>de marras</w:t>
      </w:r>
      <w:r w:rsidRPr="00546EB1">
        <w:rPr>
          <w:color w:val="000000"/>
        </w:rPr>
        <w:t>:</w:t>
      </w:r>
    </w:p>
    <w:p w14:paraId="141A0A86" w14:textId="77777777" w:rsidR="004A72D5" w:rsidRPr="00546EB1" w:rsidRDefault="004A72D5" w:rsidP="004A72D5">
      <w:pPr>
        <w:autoSpaceDE w:val="0"/>
        <w:autoSpaceDN w:val="0"/>
        <w:adjustRightInd w:val="0"/>
        <w:jc w:val="both"/>
        <w:rPr>
          <w:color w:val="000000"/>
          <w:sz w:val="22"/>
          <w:szCs w:val="22"/>
        </w:rPr>
      </w:pPr>
    </w:p>
    <w:p w14:paraId="46126B34" w14:textId="77777777" w:rsidR="004A72D5" w:rsidRPr="00546EB1" w:rsidRDefault="004A72D5" w:rsidP="004A72D5">
      <w:pPr>
        <w:autoSpaceDE w:val="0"/>
        <w:autoSpaceDN w:val="0"/>
        <w:adjustRightInd w:val="0"/>
        <w:ind w:left="567"/>
        <w:jc w:val="both"/>
        <w:rPr>
          <w:i/>
          <w:color w:val="000000"/>
          <w:sz w:val="22"/>
          <w:szCs w:val="22"/>
        </w:rPr>
      </w:pPr>
      <w:r w:rsidRPr="00546EB1">
        <w:rPr>
          <w:i/>
          <w:color w:val="000000"/>
          <w:sz w:val="22"/>
          <w:szCs w:val="22"/>
        </w:rPr>
        <w:t xml:space="preserve">De lo anterior se desprende, que la Dirección de Programas de Equidad es la única Unidad Ejecutora de Transferencias que cuenta con la viabilidad de instruir a las Juntas de Educación y las Juntas Administrativas el proceder de la administración y ejecución de los programas de equidad; siendo que dicho procedimiento riñe con instrucciones giradas y esfuerzos iniciados a partir del 2016, donde se ha indicado por varios canales de comunicación que el nombre de la cuenta bancaria deberá ser DPE o Programas de Equidad y </w:t>
      </w:r>
      <w:r w:rsidRPr="00546EB1">
        <w:rPr>
          <w:i/>
          <w:color w:val="000000"/>
          <w:sz w:val="22"/>
          <w:szCs w:val="22"/>
          <w:u w:val="single"/>
        </w:rPr>
        <w:t>no así FODESAF</w:t>
      </w:r>
      <w:r w:rsidRPr="00546EB1">
        <w:rPr>
          <w:i/>
          <w:color w:val="000000"/>
          <w:sz w:val="22"/>
          <w:szCs w:val="22"/>
        </w:rPr>
        <w:t>.</w:t>
      </w:r>
    </w:p>
    <w:p w14:paraId="4BA79064" w14:textId="77777777" w:rsidR="004A72D5" w:rsidRPr="00546EB1" w:rsidRDefault="004A72D5" w:rsidP="004A72D5">
      <w:pPr>
        <w:autoSpaceDE w:val="0"/>
        <w:autoSpaceDN w:val="0"/>
        <w:adjustRightInd w:val="0"/>
        <w:jc w:val="both"/>
        <w:rPr>
          <w:color w:val="000000"/>
          <w:sz w:val="22"/>
          <w:szCs w:val="22"/>
        </w:rPr>
      </w:pPr>
    </w:p>
    <w:p w14:paraId="765B38BF" w14:textId="77777777" w:rsidR="004A72D5" w:rsidRPr="00546EB1" w:rsidRDefault="004A72D5" w:rsidP="004A72D5">
      <w:pPr>
        <w:autoSpaceDE w:val="0"/>
        <w:autoSpaceDN w:val="0"/>
        <w:adjustRightInd w:val="0"/>
        <w:jc w:val="both"/>
        <w:rPr>
          <w:color w:val="000000"/>
        </w:rPr>
      </w:pPr>
      <w:r w:rsidRPr="00546EB1">
        <w:rPr>
          <w:color w:val="000000"/>
        </w:rPr>
        <w:t xml:space="preserve">Además señala: </w:t>
      </w:r>
    </w:p>
    <w:p w14:paraId="249CF139" w14:textId="77777777" w:rsidR="004A72D5" w:rsidRPr="00546EB1" w:rsidRDefault="004A72D5" w:rsidP="004A72D5">
      <w:pPr>
        <w:autoSpaceDE w:val="0"/>
        <w:autoSpaceDN w:val="0"/>
        <w:adjustRightInd w:val="0"/>
        <w:jc w:val="both"/>
        <w:rPr>
          <w:color w:val="000000"/>
          <w:sz w:val="22"/>
          <w:szCs w:val="22"/>
        </w:rPr>
      </w:pPr>
    </w:p>
    <w:p w14:paraId="33DED8AC" w14:textId="77777777" w:rsidR="004A72D5" w:rsidRPr="00546EB1" w:rsidRDefault="004A72D5" w:rsidP="00D116F3">
      <w:pPr>
        <w:ind w:left="567"/>
        <w:jc w:val="both"/>
        <w:rPr>
          <w:i/>
          <w:color w:val="000000"/>
          <w:sz w:val="22"/>
          <w:szCs w:val="22"/>
        </w:rPr>
      </w:pPr>
      <w:r w:rsidRPr="00546EB1">
        <w:rPr>
          <w:i/>
          <w:color w:val="000000"/>
          <w:sz w:val="22"/>
          <w:szCs w:val="22"/>
        </w:rPr>
        <w:t>Lo anterior, ha originado una corriente de consultas por parte de las Direcciones Regionales de Educación sobre el proceder, considerando instrucciones y capacitaciones de esta Dirección en la línea de lo indicado…</w:t>
      </w:r>
    </w:p>
    <w:p w14:paraId="072B0479" w14:textId="77777777" w:rsidR="004A72D5" w:rsidRPr="00546EB1" w:rsidRDefault="004A72D5" w:rsidP="004A72D5">
      <w:pPr>
        <w:jc w:val="both"/>
        <w:rPr>
          <w:color w:val="000000"/>
          <w:sz w:val="22"/>
          <w:szCs w:val="22"/>
        </w:rPr>
      </w:pPr>
    </w:p>
    <w:p w14:paraId="18573C19" w14:textId="77777777" w:rsidR="007A53A3" w:rsidRPr="00546EB1" w:rsidRDefault="007A53A3" w:rsidP="007A53A3">
      <w:pPr>
        <w:autoSpaceDE w:val="0"/>
        <w:autoSpaceDN w:val="0"/>
        <w:adjustRightInd w:val="0"/>
        <w:jc w:val="both"/>
        <w:rPr>
          <w:i/>
          <w:color w:val="000000"/>
        </w:rPr>
      </w:pPr>
      <w:r w:rsidRPr="00546EB1">
        <w:rPr>
          <w:color w:val="000000"/>
        </w:rPr>
        <w:t xml:space="preserve">Dicha </w:t>
      </w:r>
      <w:r w:rsidR="006A352B" w:rsidRPr="00546EB1">
        <w:rPr>
          <w:color w:val="000000"/>
        </w:rPr>
        <w:t xml:space="preserve">situación </w:t>
      </w:r>
      <w:r w:rsidRPr="00546EB1">
        <w:rPr>
          <w:color w:val="000000"/>
        </w:rPr>
        <w:t>contraviene lo indicado por las Normas de Control Interno para el Sector Público, en el numeral 5.7.1 Canales y medios de comunicación que señala: “</w:t>
      </w:r>
      <w:r w:rsidRPr="00546EB1">
        <w:rPr>
          <w:i/>
          <w:color w:val="000000"/>
        </w:rPr>
        <w:t>Deben establecerse y funcionar adecuados canales y medios de comunicación, que permitan trasladar la información de manera transparente, ágil, segura, correcta y oportuna, a los destinatarios idóneos dentro y fuera de la institución”.</w:t>
      </w:r>
    </w:p>
    <w:p w14:paraId="65A95004" w14:textId="77777777" w:rsidR="007A53A3" w:rsidRPr="00546EB1" w:rsidRDefault="007A53A3" w:rsidP="007A53A3">
      <w:pPr>
        <w:autoSpaceDE w:val="0"/>
        <w:autoSpaceDN w:val="0"/>
        <w:adjustRightInd w:val="0"/>
        <w:jc w:val="both"/>
        <w:rPr>
          <w:i/>
          <w:color w:val="000000"/>
        </w:rPr>
      </w:pPr>
    </w:p>
    <w:p w14:paraId="2B6F877D" w14:textId="77777777" w:rsidR="00740978" w:rsidRPr="00546EB1" w:rsidRDefault="006A352B" w:rsidP="007658F6">
      <w:pPr>
        <w:autoSpaceDE w:val="0"/>
        <w:autoSpaceDN w:val="0"/>
        <w:adjustRightInd w:val="0"/>
        <w:jc w:val="both"/>
        <w:rPr>
          <w:color w:val="000000"/>
        </w:rPr>
      </w:pPr>
      <w:r w:rsidRPr="00546EB1">
        <w:rPr>
          <w:color w:val="000000"/>
        </w:rPr>
        <w:t xml:space="preserve">Y lo señalado en </w:t>
      </w:r>
      <w:r w:rsidR="007A53A3" w:rsidRPr="00546EB1">
        <w:rPr>
          <w:color w:val="000000"/>
        </w:rPr>
        <w:t>la Ley General de Control Interno 8292</w:t>
      </w:r>
      <w:r w:rsidR="00740978" w:rsidRPr="00546EB1">
        <w:rPr>
          <w:color w:val="000000"/>
        </w:rPr>
        <w:t xml:space="preserve"> en el artículo 13 inciso </w:t>
      </w:r>
      <w:r w:rsidR="007658F6" w:rsidRPr="00546EB1">
        <w:rPr>
          <w:color w:val="000000"/>
        </w:rPr>
        <w:t>d</w:t>
      </w:r>
      <w:r w:rsidR="00740978" w:rsidRPr="00546EB1">
        <w:rPr>
          <w:color w:val="000000"/>
        </w:rPr>
        <w:t>), relacionado con el ambiente de control interno,</w:t>
      </w:r>
      <w:r w:rsidRPr="00546EB1">
        <w:rPr>
          <w:color w:val="000000"/>
        </w:rPr>
        <w:t xml:space="preserve"> la cual</w:t>
      </w:r>
      <w:r w:rsidR="00740978" w:rsidRPr="00546EB1">
        <w:rPr>
          <w:color w:val="000000"/>
        </w:rPr>
        <w:t xml:space="preserve"> indica</w:t>
      </w:r>
      <w:r w:rsidR="007658F6" w:rsidRPr="00546EB1">
        <w:rPr>
          <w:color w:val="000000"/>
        </w:rPr>
        <w:t xml:space="preserve"> que se debe “</w:t>
      </w:r>
      <w:r w:rsidR="00740978" w:rsidRPr="00546EB1">
        <w:rPr>
          <w:i/>
          <w:color w:val="000000"/>
        </w:rPr>
        <w:t xml:space="preserve">Establecer claramente las relaciones de jerarquía, asignar la autoridad y responsabilidad de los funcionarios y proporcionar los canales adecuados de comunicación, para que los </w:t>
      </w:r>
      <w:r w:rsidR="00740978" w:rsidRPr="00546EB1">
        <w:rPr>
          <w:i/>
          <w:color w:val="000000"/>
        </w:rPr>
        <w:lastRenderedPageBreak/>
        <w:t>procesos se lleven a cabo; todo de conformidad con el ordenamiento jurídico y técnico aplicable</w:t>
      </w:r>
      <w:r w:rsidR="007658F6" w:rsidRPr="00546EB1">
        <w:rPr>
          <w:i/>
          <w:color w:val="000000"/>
        </w:rPr>
        <w:t>”</w:t>
      </w:r>
      <w:r w:rsidR="00740978" w:rsidRPr="00546EB1">
        <w:rPr>
          <w:i/>
          <w:color w:val="000000"/>
        </w:rPr>
        <w:t>.</w:t>
      </w:r>
    </w:p>
    <w:p w14:paraId="70AD9EAC" w14:textId="77777777" w:rsidR="00740978" w:rsidRPr="00546EB1" w:rsidRDefault="00740978" w:rsidP="007A53A3">
      <w:pPr>
        <w:autoSpaceDE w:val="0"/>
        <w:autoSpaceDN w:val="0"/>
        <w:adjustRightInd w:val="0"/>
        <w:jc w:val="both"/>
        <w:rPr>
          <w:color w:val="000000"/>
          <w:sz w:val="22"/>
          <w:szCs w:val="22"/>
        </w:rPr>
      </w:pPr>
    </w:p>
    <w:p w14:paraId="4FAD2BA3" w14:textId="77777777" w:rsidR="008F714E" w:rsidRPr="00546EB1" w:rsidRDefault="003C6E25" w:rsidP="008F714E">
      <w:pPr>
        <w:autoSpaceDE w:val="0"/>
        <w:autoSpaceDN w:val="0"/>
        <w:adjustRightInd w:val="0"/>
        <w:jc w:val="both"/>
        <w:rPr>
          <w:color w:val="000000"/>
        </w:rPr>
      </w:pPr>
      <w:r w:rsidRPr="00546EB1">
        <w:t xml:space="preserve">Es importante </w:t>
      </w:r>
      <w:r w:rsidR="0031155E" w:rsidRPr="00546EB1">
        <w:t xml:space="preserve">indicar </w:t>
      </w:r>
      <w:r w:rsidR="008E4D2D" w:rsidRPr="00546EB1">
        <w:rPr>
          <w:color w:val="000000"/>
        </w:rPr>
        <w:t xml:space="preserve">que la Auditoría Interna mediante oficio AI-1583-17 del 23 de octubre de 2017, </w:t>
      </w:r>
      <w:r w:rsidR="007658F6" w:rsidRPr="00546EB1">
        <w:rPr>
          <w:color w:val="000000"/>
        </w:rPr>
        <w:t xml:space="preserve">le </w:t>
      </w:r>
      <w:r w:rsidR="0031155E" w:rsidRPr="00546EB1">
        <w:rPr>
          <w:color w:val="000000"/>
        </w:rPr>
        <w:t>solicita al entonces</w:t>
      </w:r>
      <w:r w:rsidR="00585653">
        <w:rPr>
          <w:color w:val="000000"/>
        </w:rPr>
        <w:t xml:space="preserve"> </w:t>
      </w:r>
      <w:r w:rsidR="007658F6" w:rsidRPr="00546EB1">
        <w:rPr>
          <w:color w:val="000000"/>
        </w:rPr>
        <w:t>V</w:t>
      </w:r>
      <w:r w:rsidR="008E4D2D" w:rsidRPr="00546EB1">
        <w:rPr>
          <w:color w:val="000000"/>
        </w:rPr>
        <w:t>iceministro de Planificación Institucional y Coordinación Regional</w:t>
      </w:r>
      <w:r w:rsidR="008E4D2D" w:rsidRPr="00546EB1">
        <w:t>,</w:t>
      </w:r>
      <w:r w:rsidR="008E4D2D" w:rsidRPr="00546EB1">
        <w:rPr>
          <w:color w:val="000000"/>
        </w:rPr>
        <w:t xml:space="preserve"> si a través del Despacho </w:t>
      </w:r>
      <w:r w:rsidR="008E4D2D" w:rsidRPr="00546EB1">
        <w:t>se</w:t>
      </w:r>
      <w:r w:rsidR="008E4D2D" w:rsidRPr="00546EB1">
        <w:rPr>
          <w:color w:val="000000"/>
        </w:rPr>
        <w:t xml:space="preserve"> han gestado acciones que permitan a las Direcciones Regionales optimizar los procesos de administración, control y supervisión de los recursos provenientes de la Di</w:t>
      </w:r>
      <w:r w:rsidR="008F714E" w:rsidRPr="00546EB1">
        <w:t>rección de Programas de Equidad, el cual a través del</w:t>
      </w:r>
      <w:r w:rsidR="008E54B5" w:rsidRPr="00546EB1">
        <w:t xml:space="preserve"> </w:t>
      </w:r>
      <w:r w:rsidR="008F714E" w:rsidRPr="00546EB1">
        <w:rPr>
          <w:color w:val="000000"/>
        </w:rPr>
        <w:t>oficio DVM-PICR-0770-12-2017 del 21 de diciembre de 2017</w:t>
      </w:r>
      <w:r w:rsidR="008F714E" w:rsidRPr="00546EB1">
        <w:t xml:space="preserve"> indica </w:t>
      </w:r>
      <w:r w:rsidR="008F714E" w:rsidRPr="00546EB1">
        <w:rPr>
          <w:color w:val="000000"/>
        </w:rPr>
        <w:t>que se llevará a cabo la coordinación para establecer el equipo y el plan de trabajo a seguir, esto con el objetivo de confeccionar un documento de lineamientos y herramientas en materia de fiscalización y control, que determine los parámetros bajo los cuales se debe llevar a cabo la labor fiscalizadora.</w:t>
      </w:r>
    </w:p>
    <w:p w14:paraId="7E43A876" w14:textId="77777777" w:rsidR="0031155E" w:rsidRPr="00546EB1" w:rsidRDefault="0031155E" w:rsidP="004A72D5">
      <w:pPr>
        <w:shd w:val="clear" w:color="auto" w:fill="FFFFFF" w:themeFill="background1"/>
        <w:autoSpaceDE w:val="0"/>
        <w:autoSpaceDN w:val="0"/>
        <w:adjustRightInd w:val="0"/>
        <w:jc w:val="both"/>
        <w:rPr>
          <w:color w:val="000000"/>
        </w:rPr>
      </w:pPr>
    </w:p>
    <w:p w14:paraId="04A2A218" w14:textId="77777777" w:rsidR="004A72D5" w:rsidRPr="00546EB1" w:rsidRDefault="004A72D5" w:rsidP="004A72D5">
      <w:pPr>
        <w:shd w:val="clear" w:color="auto" w:fill="FFFFFF" w:themeFill="background1"/>
        <w:autoSpaceDE w:val="0"/>
        <w:autoSpaceDN w:val="0"/>
        <w:adjustRightInd w:val="0"/>
        <w:jc w:val="both"/>
        <w:rPr>
          <w:color w:val="000000"/>
        </w:rPr>
      </w:pPr>
      <w:r w:rsidRPr="00546EB1">
        <w:rPr>
          <w:color w:val="000000"/>
        </w:rPr>
        <w:t>Finalmente,</w:t>
      </w:r>
      <w:r w:rsidR="00385606" w:rsidRPr="00546EB1">
        <w:rPr>
          <w:color w:val="000000"/>
        </w:rPr>
        <w:t xml:space="preserve"> es </w:t>
      </w:r>
      <w:r w:rsidR="0031155E" w:rsidRPr="00546EB1">
        <w:rPr>
          <w:color w:val="000000"/>
        </w:rPr>
        <w:t xml:space="preserve">de </w:t>
      </w:r>
      <w:r w:rsidR="00385606" w:rsidRPr="00546EB1">
        <w:rPr>
          <w:color w:val="000000"/>
        </w:rPr>
        <w:t xml:space="preserve">acotar que </w:t>
      </w:r>
      <w:r w:rsidRPr="00546EB1">
        <w:rPr>
          <w:color w:val="000000"/>
        </w:rPr>
        <w:t xml:space="preserve"> mediante </w:t>
      </w:r>
      <w:r w:rsidR="00385606" w:rsidRPr="00546EB1">
        <w:rPr>
          <w:color w:val="000000"/>
        </w:rPr>
        <w:t xml:space="preserve">el </w:t>
      </w:r>
      <w:r w:rsidRPr="00546EB1">
        <w:rPr>
          <w:color w:val="000000"/>
        </w:rPr>
        <w:t xml:space="preserve">Decreto Ejecutivo N° 41007 – MEP, </w:t>
      </w:r>
      <w:r w:rsidR="007658F6" w:rsidRPr="00546EB1">
        <w:rPr>
          <w:color w:val="000000"/>
        </w:rPr>
        <w:t>R</w:t>
      </w:r>
      <w:r w:rsidRPr="00546EB1">
        <w:rPr>
          <w:color w:val="000000"/>
        </w:rPr>
        <w:t>eforma al Decreto Ejecutivo Nº 38170-MEP y sus reformas, a la Organización Administrativa de las Oficinas Centrales del Ministerio de Educación Pública, publicado el diecinueve de marzo de 2018; se introdujeron ajustes y modificaciones a las funciones</w:t>
      </w:r>
      <w:r w:rsidR="008E54B5" w:rsidRPr="00546EB1">
        <w:rPr>
          <w:color w:val="000000"/>
        </w:rPr>
        <w:t xml:space="preserve"> </w:t>
      </w:r>
      <w:r w:rsidRPr="00546EB1">
        <w:rPr>
          <w:color w:val="000000"/>
        </w:rPr>
        <w:t>del Viceministerio de Planificación Institucional y Coordinación Regional, Dirección de Gestión y Desarrollo Regional (DGDR) y al Departamento de Gestión de Juntas y Administrativas, articuladas con las Unidades Ejecutoras de Transferencias, así como con las Direcciones Regionales de Educación. Por lo que los procedimientos, coordinaciones y comunicaciones son inherentes al accionar de la Dirección de Programa de Equidad</w:t>
      </w:r>
      <w:r w:rsidR="00385606" w:rsidRPr="00546EB1">
        <w:rPr>
          <w:color w:val="000000"/>
        </w:rPr>
        <w:t>, razones que pesan para priorizar los procesos de articulación Interinstitucional.</w:t>
      </w:r>
    </w:p>
    <w:p w14:paraId="6E31237F" w14:textId="77777777" w:rsidR="00036AE8" w:rsidRPr="00546EB1" w:rsidRDefault="00036AE8" w:rsidP="004A72D5">
      <w:pPr>
        <w:shd w:val="clear" w:color="auto" w:fill="FFFFFF" w:themeFill="background1"/>
        <w:autoSpaceDE w:val="0"/>
        <w:autoSpaceDN w:val="0"/>
        <w:adjustRightInd w:val="0"/>
        <w:jc w:val="both"/>
        <w:rPr>
          <w:color w:val="000000"/>
        </w:rPr>
      </w:pPr>
    </w:p>
    <w:p w14:paraId="6E2BA27D" w14:textId="77777777" w:rsidR="004A72D5" w:rsidRPr="00546EB1" w:rsidRDefault="004A72D5" w:rsidP="004A72D5">
      <w:pPr>
        <w:jc w:val="both"/>
        <w:rPr>
          <w:color w:val="000000"/>
        </w:rPr>
      </w:pPr>
      <w:r w:rsidRPr="00546EB1">
        <w:rPr>
          <w:color w:val="000000"/>
        </w:rPr>
        <w:t>Así las cosas, el artíc</w:t>
      </w:r>
      <w:r w:rsidR="0031155E" w:rsidRPr="00546EB1">
        <w:rPr>
          <w:color w:val="000000"/>
        </w:rPr>
        <w:t xml:space="preserve">ulo 2 del Decreto Ejecutivo No </w:t>
      </w:r>
      <w:r w:rsidRPr="00546EB1">
        <w:rPr>
          <w:color w:val="000000"/>
        </w:rPr>
        <w:t xml:space="preserve">41007-MEP, modifica el artículo 69 en lo concerniente al Viceministerio de Planificación Institucional y Coordinación Regional, cuyo texto en adelante, entre </w:t>
      </w:r>
      <w:r w:rsidR="00A24BE1" w:rsidRPr="00546EB1">
        <w:rPr>
          <w:color w:val="000000"/>
        </w:rPr>
        <w:t>otros</w:t>
      </w:r>
      <w:r w:rsidRPr="00546EB1">
        <w:rPr>
          <w:color w:val="000000"/>
        </w:rPr>
        <w:t xml:space="preserve"> aspectos </w:t>
      </w:r>
      <w:r w:rsidR="00385606" w:rsidRPr="00546EB1">
        <w:rPr>
          <w:color w:val="000000"/>
        </w:rPr>
        <w:t>indica</w:t>
      </w:r>
      <w:r w:rsidRPr="00546EB1">
        <w:rPr>
          <w:color w:val="000000"/>
        </w:rPr>
        <w:t>:</w:t>
      </w:r>
    </w:p>
    <w:p w14:paraId="1B059038" w14:textId="77777777" w:rsidR="004A72D5" w:rsidRPr="00546EB1" w:rsidRDefault="004A72D5" w:rsidP="004A72D5">
      <w:pPr>
        <w:autoSpaceDE w:val="0"/>
        <w:autoSpaceDN w:val="0"/>
        <w:adjustRightInd w:val="0"/>
        <w:rPr>
          <w:color w:val="000000"/>
          <w:sz w:val="22"/>
          <w:szCs w:val="22"/>
        </w:rPr>
      </w:pPr>
    </w:p>
    <w:p w14:paraId="3F7A8318" w14:textId="77777777" w:rsidR="004A72D5" w:rsidRPr="00546EB1" w:rsidRDefault="004A72D5" w:rsidP="004A72D5">
      <w:pPr>
        <w:autoSpaceDE w:val="0"/>
        <w:autoSpaceDN w:val="0"/>
        <w:adjustRightInd w:val="0"/>
        <w:ind w:left="596"/>
        <w:jc w:val="both"/>
        <w:rPr>
          <w:color w:val="000000"/>
          <w:sz w:val="22"/>
          <w:szCs w:val="22"/>
        </w:rPr>
      </w:pPr>
      <w:r w:rsidRPr="00546EB1">
        <w:rPr>
          <w:color w:val="000000"/>
          <w:sz w:val="22"/>
          <w:szCs w:val="22"/>
        </w:rPr>
        <w:t>…</w:t>
      </w:r>
      <w:r w:rsidRPr="00546EB1">
        <w:rPr>
          <w:i/>
          <w:color w:val="000000"/>
          <w:sz w:val="22"/>
          <w:szCs w:val="22"/>
        </w:rPr>
        <w:t>El Viceministerio de Planificación Institucional y Coordinación Regional, con el apoyo técnico de la Dirección de Gestión y Desarrollo Regional (DGDR), realizará la coordinación general de los procesos relacionados con la gestión de las Juntas de Educación y las Juntas Administrativas. En este sentido, le corresponde, a esta Dirección, apoyar, capacitar y dirigir a las Direcciones Regionales de Educación para la atención de los procesos relacionados con las Juntas; así como implementar mecanismos de coordinación con las Unidades Ejecutoras de Transferencias (UET).</w:t>
      </w:r>
    </w:p>
    <w:p w14:paraId="5A0405E3" w14:textId="77777777" w:rsidR="004A72D5" w:rsidRPr="00546EB1" w:rsidRDefault="004A72D5" w:rsidP="004A72D5">
      <w:pPr>
        <w:autoSpaceDE w:val="0"/>
        <w:autoSpaceDN w:val="0"/>
        <w:adjustRightInd w:val="0"/>
        <w:jc w:val="both"/>
        <w:rPr>
          <w:color w:val="000000"/>
          <w:sz w:val="22"/>
          <w:szCs w:val="22"/>
        </w:rPr>
      </w:pPr>
    </w:p>
    <w:p w14:paraId="6762AAF5" w14:textId="77777777" w:rsidR="004A72D5" w:rsidRPr="00546EB1" w:rsidRDefault="004A72D5" w:rsidP="004A72D5">
      <w:pPr>
        <w:autoSpaceDE w:val="0"/>
        <w:autoSpaceDN w:val="0"/>
        <w:adjustRightInd w:val="0"/>
        <w:jc w:val="both"/>
        <w:rPr>
          <w:color w:val="000000"/>
        </w:rPr>
      </w:pPr>
      <w:r w:rsidRPr="00546EB1">
        <w:rPr>
          <w:color w:val="000000"/>
        </w:rPr>
        <w:t>Además señala:</w:t>
      </w:r>
    </w:p>
    <w:p w14:paraId="4F455C82" w14:textId="77777777" w:rsidR="00385606" w:rsidRPr="00546EB1" w:rsidRDefault="00385606" w:rsidP="004A72D5">
      <w:pPr>
        <w:autoSpaceDE w:val="0"/>
        <w:autoSpaceDN w:val="0"/>
        <w:adjustRightInd w:val="0"/>
        <w:jc w:val="both"/>
        <w:rPr>
          <w:color w:val="000000"/>
        </w:rPr>
      </w:pPr>
    </w:p>
    <w:p w14:paraId="32FAC975" w14:textId="77777777" w:rsidR="004A72D5" w:rsidRPr="00546EB1" w:rsidRDefault="004A72D5" w:rsidP="004A72D5">
      <w:pPr>
        <w:autoSpaceDE w:val="0"/>
        <w:autoSpaceDN w:val="0"/>
        <w:adjustRightInd w:val="0"/>
        <w:ind w:left="596"/>
        <w:jc w:val="both"/>
        <w:rPr>
          <w:color w:val="000000"/>
          <w:sz w:val="22"/>
          <w:szCs w:val="22"/>
        </w:rPr>
      </w:pPr>
      <w:r w:rsidRPr="00546EB1">
        <w:rPr>
          <w:color w:val="000000"/>
          <w:sz w:val="22"/>
          <w:szCs w:val="22"/>
        </w:rPr>
        <w:t>…</w:t>
      </w:r>
      <w:r w:rsidRPr="00546EB1">
        <w:rPr>
          <w:i/>
          <w:color w:val="000000"/>
          <w:sz w:val="22"/>
          <w:szCs w:val="22"/>
        </w:rPr>
        <w:t>cada Unidad Ejecutora de Transferencias (UET), previo visto bueno del correspondiente Viceministro (a) de Planificación Institucional y Coordinación Regional, dictará los lineamientos técnicos, directrices y manuales de procedimientos requeridos para orientar la asignación, uso, supervisión y control de los recursos canalizados a las Juntas de Educación y Juntas Administrativas, en la materia de su competencia.</w:t>
      </w:r>
    </w:p>
    <w:p w14:paraId="5A0F6C5D" w14:textId="77777777" w:rsidR="004A72D5" w:rsidRPr="00546EB1" w:rsidRDefault="004A72D5" w:rsidP="004A72D5">
      <w:pPr>
        <w:autoSpaceDE w:val="0"/>
        <w:autoSpaceDN w:val="0"/>
        <w:adjustRightInd w:val="0"/>
        <w:jc w:val="both"/>
        <w:rPr>
          <w:color w:val="000000"/>
          <w:sz w:val="22"/>
          <w:szCs w:val="22"/>
        </w:rPr>
      </w:pPr>
    </w:p>
    <w:p w14:paraId="1CBD03FA" w14:textId="77777777" w:rsidR="004A72D5" w:rsidRPr="00546EB1" w:rsidRDefault="004A72D5" w:rsidP="004A72D5">
      <w:pPr>
        <w:autoSpaceDE w:val="0"/>
        <w:autoSpaceDN w:val="0"/>
        <w:adjustRightInd w:val="0"/>
        <w:jc w:val="both"/>
        <w:rPr>
          <w:color w:val="000000"/>
        </w:rPr>
      </w:pPr>
      <w:r w:rsidRPr="00546EB1">
        <w:rPr>
          <w:color w:val="000000"/>
        </w:rPr>
        <w:t>Por otro lado, el artículo 73 Bis, inciso d) y e), son funciones del Departamento de Gestión de Juntas:</w:t>
      </w:r>
    </w:p>
    <w:p w14:paraId="1A4E5FA5" w14:textId="77777777" w:rsidR="00385606" w:rsidRPr="00546EB1" w:rsidRDefault="00385606" w:rsidP="00D116F3">
      <w:pPr>
        <w:autoSpaceDE w:val="0"/>
        <w:autoSpaceDN w:val="0"/>
        <w:adjustRightInd w:val="0"/>
        <w:ind w:left="596"/>
        <w:jc w:val="both"/>
        <w:rPr>
          <w:i/>
          <w:color w:val="000000"/>
          <w:sz w:val="22"/>
          <w:szCs w:val="22"/>
        </w:rPr>
      </w:pPr>
    </w:p>
    <w:p w14:paraId="4BB7FDE7" w14:textId="77777777" w:rsidR="004A72D5" w:rsidRPr="00546EB1" w:rsidRDefault="004A72D5" w:rsidP="00D116F3">
      <w:pPr>
        <w:autoSpaceDE w:val="0"/>
        <w:autoSpaceDN w:val="0"/>
        <w:adjustRightInd w:val="0"/>
        <w:ind w:left="596"/>
        <w:jc w:val="both"/>
        <w:rPr>
          <w:i/>
          <w:color w:val="000000"/>
          <w:sz w:val="22"/>
          <w:szCs w:val="22"/>
        </w:rPr>
      </w:pPr>
      <w:r w:rsidRPr="00546EB1">
        <w:rPr>
          <w:i/>
          <w:color w:val="000000"/>
          <w:sz w:val="22"/>
          <w:szCs w:val="22"/>
        </w:rPr>
        <w:t>(…)</w:t>
      </w:r>
    </w:p>
    <w:p w14:paraId="6C947343" w14:textId="77777777" w:rsidR="004A72D5" w:rsidRPr="00546EB1" w:rsidRDefault="004A72D5" w:rsidP="00D116F3">
      <w:pPr>
        <w:autoSpaceDE w:val="0"/>
        <w:autoSpaceDN w:val="0"/>
        <w:adjustRightInd w:val="0"/>
        <w:ind w:left="596"/>
        <w:jc w:val="both"/>
        <w:rPr>
          <w:i/>
          <w:color w:val="000000"/>
          <w:sz w:val="22"/>
          <w:szCs w:val="22"/>
        </w:rPr>
      </w:pPr>
      <w:r w:rsidRPr="00546EB1">
        <w:rPr>
          <w:i/>
          <w:color w:val="000000"/>
          <w:sz w:val="22"/>
          <w:szCs w:val="22"/>
        </w:rPr>
        <w:lastRenderedPageBreak/>
        <w:t>d) Vigilar que las directrices y lineamientos dirigidos a las direcciones regionales de educación y a las Juntas, por parte de las diferentes instancias ministeriales, sean atinentes a la normativa y cuenten con el visto bueno del Viceministro de Planificación Institucional y Coordinación Regional.</w:t>
      </w:r>
    </w:p>
    <w:p w14:paraId="1616C435" w14:textId="77777777" w:rsidR="004A72D5" w:rsidRPr="00546EB1" w:rsidRDefault="004A72D5" w:rsidP="00D116F3">
      <w:pPr>
        <w:ind w:left="567"/>
        <w:jc w:val="both"/>
        <w:rPr>
          <w:i/>
          <w:color w:val="000000"/>
          <w:sz w:val="22"/>
          <w:szCs w:val="22"/>
        </w:rPr>
      </w:pPr>
      <w:r w:rsidRPr="00546EB1">
        <w:rPr>
          <w:color w:val="000000"/>
          <w:sz w:val="22"/>
          <w:szCs w:val="22"/>
        </w:rPr>
        <w:t>e</w:t>
      </w:r>
      <w:r w:rsidRPr="00546EB1">
        <w:rPr>
          <w:i/>
          <w:color w:val="000000"/>
          <w:sz w:val="22"/>
          <w:szCs w:val="22"/>
        </w:rPr>
        <w:t>) Fomentar el uso de procedimientos y formatos estandarizados, en todas las Direcciones Regionales de Educación, para la atención de los procesos de gestión de juntas.</w:t>
      </w:r>
    </w:p>
    <w:p w14:paraId="7AB730F7" w14:textId="77777777" w:rsidR="00DF7EF8" w:rsidRDefault="00DF7EF8" w:rsidP="005858C6">
      <w:pPr>
        <w:jc w:val="both"/>
      </w:pPr>
    </w:p>
    <w:p w14:paraId="6734F157" w14:textId="75BFF069" w:rsidR="005858C6" w:rsidRPr="00546EB1" w:rsidRDefault="005858C6" w:rsidP="005858C6">
      <w:pPr>
        <w:jc w:val="both"/>
      </w:pPr>
      <w:r w:rsidRPr="00546EB1">
        <w:t>Todo este escenario evidencia una deficiente gestión en</w:t>
      </w:r>
      <w:r w:rsidR="0063739C" w:rsidRPr="00546EB1">
        <w:t xml:space="preserve"> la coordinación, comunicación, supervisión,</w:t>
      </w:r>
      <w:r w:rsidRPr="00546EB1">
        <w:t xml:space="preserve"> duplicidad de esfuerzos; así como atrasos, formas y contenido de la información requerida, todo ello en materia </w:t>
      </w:r>
      <w:r w:rsidR="0063739C" w:rsidRPr="00546EB1">
        <w:t xml:space="preserve">tanto </w:t>
      </w:r>
      <w:r w:rsidRPr="00546EB1">
        <w:t>de ejecución como de rendición de cuentas en las instancias involucradas</w:t>
      </w:r>
      <w:r w:rsidR="0063739C" w:rsidRPr="00546EB1">
        <w:t>,</w:t>
      </w:r>
      <w:r w:rsidRPr="00546EB1">
        <w:t xml:space="preserve"> que mant</w:t>
      </w:r>
      <w:r w:rsidR="0063739C" w:rsidRPr="00546EB1">
        <w:t xml:space="preserve">ienen </w:t>
      </w:r>
      <w:r w:rsidRPr="00546EB1">
        <w:t>r</w:t>
      </w:r>
      <w:r w:rsidR="0063739C" w:rsidRPr="00546EB1">
        <w:t xml:space="preserve">elación con los </w:t>
      </w:r>
      <w:r w:rsidR="003B3D0F">
        <w:t>P</w:t>
      </w:r>
      <w:r w:rsidR="0063739C" w:rsidRPr="00546EB1">
        <w:t xml:space="preserve">rogramas de </w:t>
      </w:r>
      <w:r w:rsidR="003B3D0F">
        <w:t>E</w:t>
      </w:r>
      <w:r w:rsidRPr="00546EB1">
        <w:t xml:space="preserve">quidad. </w:t>
      </w:r>
    </w:p>
    <w:p w14:paraId="3D9AF5B4" w14:textId="77777777" w:rsidR="0002455C" w:rsidRPr="00DF7EF8" w:rsidRDefault="0037406F" w:rsidP="00DF7EF8">
      <w:pPr>
        <w:pStyle w:val="Ttulo2"/>
        <w:jc w:val="both"/>
        <w:rPr>
          <w:sz w:val="24"/>
          <w:szCs w:val="24"/>
        </w:rPr>
      </w:pPr>
      <w:bookmarkStart w:id="11" w:name="_Toc3552501"/>
      <w:r w:rsidRPr="00DF7EF8">
        <w:rPr>
          <w:sz w:val="24"/>
          <w:szCs w:val="24"/>
        </w:rPr>
        <w:t xml:space="preserve">2.3 </w:t>
      </w:r>
      <w:bookmarkStart w:id="12" w:name="_Hlk530229725"/>
      <w:r w:rsidR="004467C8" w:rsidRPr="00DF7EF8">
        <w:rPr>
          <w:sz w:val="24"/>
          <w:szCs w:val="24"/>
        </w:rPr>
        <w:t>Reintegro de recursos a la Caja Única del Estado</w:t>
      </w:r>
      <w:bookmarkEnd w:id="11"/>
    </w:p>
    <w:bookmarkEnd w:id="12"/>
    <w:p w14:paraId="71F1F289" w14:textId="77777777" w:rsidR="00425A0D" w:rsidRPr="00546EB1" w:rsidRDefault="002308C0" w:rsidP="002308C0">
      <w:pPr>
        <w:pStyle w:val="Prrafodelista"/>
        <w:tabs>
          <w:tab w:val="left" w:pos="284"/>
        </w:tabs>
        <w:autoSpaceDE w:val="0"/>
        <w:autoSpaceDN w:val="0"/>
        <w:adjustRightInd w:val="0"/>
        <w:spacing w:line="240" w:lineRule="auto"/>
        <w:ind w:left="0"/>
        <w:jc w:val="both"/>
        <w:rPr>
          <w:rFonts w:ascii="Times New Roman" w:hAnsi="Times New Roman" w:cs="Times New Roman"/>
          <w:sz w:val="24"/>
          <w:szCs w:val="24"/>
        </w:rPr>
      </w:pPr>
      <w:r w:rsidRPr="00546EB1">
        <w:rPr>
          <w:rFonts w:ascii="Times New Roman" w:hAnsi="Times New Roman" w:cs="Times New Roman"/>
          <w:sz w:val="24"/>
          <w:szCs w:val="24"/>
        </w:rPr>
        <w:t>Con el fin de constatar el reintegro de los recursos producto de los superávit</w:t>
      </w:r>
      <w:r w:rsidR="004467C8" w:rsidRPr="00546EB1">
        <w:rPr>
          <w:rFonts w:ascii="Times New Roman" w:hAnsi="Times New Roman" w:cs="Times New Roman"/>
          <w:sz w:val="24"/>
          <w:szCs w:val="24"/>
        </w:rPr>
        <w:t xml:space="preserve"> </w:t>
      </w:r>
      <w:r w:rsidRPr="00546EB1">
        <w:rPr>
          <w:rFonts w:ascii="Times New Roman" w:hAnsi="Times New Roman" w:cs="Times New Roman"/>
          <w:sz w:val="24"/>
          <w:szCs w:val="24"/>
        </w:rPr>
        <w:t xml:space="preserve">a las arcas del estado, se </w:t>
      </w:r>
      <w:r w:rsidR="004467C8" w:rsidRPr="00546EB1">
        <w:rPr>
          <w:rFonts w:ascii="Times New Roman" w:hAnsi="Times New Roman" w:cs="Times New Roman"/>
          <w:sz w:val="24"/>
          <w:szCs w:val="24"/>
        </w:rPr>
        <w:t xml:space="preserve">sustrajo </w:t>
      </w:r>
      <w:r w:rsidRPr="00546EB1">
        <w:rPr>
          <w:rFonts w:ascii="Times New Roman" w:hAnsi="Times New Roman" w:cs="Times New Roman"/>
          <w:sz w:val="24"/>
          <w:szCs w:val="24"/>
        </w:rPr>
        <w:t xml:space="preserve">una muestra de 32 centros educativos y se procedió a realizar un cotejo </w:t>
      </w:r>
      <w:r w:rsidR="00425A0D" w:rsidRPr="00546EB1">
        <w:rPr>
          <w:rFonts w:ascii="Times New Roman" w:hAnsi="Times New Roman" w:cs="Times New Roman"/>
          <w:sz w:val="24"/>
          <w:szCs w:val="24"/>
        </w:rPr>
        <w:t>con</w:t>
      </w:r>
      <w:r w:rsidRPr="00546EB1">
        <w:rPr>
          <w:rFonts w:ascii="Times New Roman" w:hAnsi="Times New Roman" w:cs="Times New Roman"/>
          <w:sz w:val="24"/>
          <w:szCs w:val="24"/>
        </w:rPr>
        <w:t xml:space="preserve"> la Contabilidad Nacional del Ministerio de Hacienda de los enteros de gobierno depositados a la cuenta bancaria de la Caja Única del Estado, </w:t>
      </w:r>
      <w:r w:rsidR="00425A0D" w:rsidRPr="00546EB1">
        <w:rPr>
          <w:rFonts w:ascii="Times New Roman" w:hAnsi="Times New Roman" w:cs="Times New Roman"/>
          <w:sz w:val="24"/>
          <w:szCs w:val="24"/>
        </w:rPr>
        <w:t xml:space="preserve">los cuales fueron suministrados por las Direcciones Regionales de Educación y la </w:t>
      </w:r>
      <w:r w:rsidR="004467C8" w:rsidRPr="00546EB1">
        <w:rPr>
          <w:rFonts w:ascii="Times New Roman" w:hAnsi="Times New Roman" w:cs="Times New Roman"/>
          <w:sz w:val="24"/>
          <w:szCs w:val="24"/>
        </w:rPr>
        <w:t>D</w:t>
      </w:r>
      <w:r w:rsidR="00425A0D" w:rsidRPr="00546EB1">
        <w:rPr>
          <w:rFonts w:ascii="Times New Roman" w:hAnsi="Times New Roman" w:cs="Times New Roman"/>
          <w:sz w:val="24"/>
          <w:szCs w:val="24"/>
        </w:rPr>
        <w:t>irección de Programas de Equidad. Esto con el fin de constatar su correcto ingreso, aspecto que dio favorable en el 100% del total de la misma.</w:t>
      </w:r>
    </w:p>
    <w:p w14:paraId="69F25ECA" w14:textId="77777777" w:rsidR="004467C8" w:rsidRPr="00546EB1" w:rsidRDefault="002308C0" w:rsidP="002308C0">
      <w:pPr>
        <w:autoSpaceDE w:val="0"/>
        <w:autoSpaceDN w:val="0"/>
        <w:adjustRightInd w:val="0"/>
        <w:jc w:val="both"/>
      </w:pPr>
      <w:r w:rsidRPr="00546EB1">
        <w:t xml:space="preserve">Adicionalmente, y tras el proceso de revisión se </w:t>
      </w:r>
      <w:r w:rsidR="00F608B3" w:rsidRPr="00546EB1">
        <w:t>encontró</w:t>
      </w:r>
      <w:r w:rsidRPr="00546EB1">
        <w:t xml:space="preserve"> que el </w:t>
      </w:r>
      <w:r w:rsidR="00425A0D" w:rsidRPr="00546EB1">
        <w:t>D</w:t>
      </w:r>
      <w:r w:rsidRPr="00546EB1">
        <w:t>epartamento de Control y Supervisión de la DPE</w:t>
      </w:r>
      <w:r w:rsidR="003B3D0F">
        <w:t>,</w:t>
      </w:r>
      <w:r w:rsidRPr="00546EB1">
        <w:t xml:space="preserve"> no mantiene implementado ningún control que permita comprobar que efectivamente los reintegros efectuados por las </w:t>
      </w:r>
      <w:r w:rsidR="004467C8" w:rsidRPr="00546EB1">
        <w:t>J</w:t>
      </w:r>
      <w:r w:rsidRPr="00546EB1">
        <w:t xml:space="preserve">untas de </w:t>
      </w:r>
      <w:r w:rsidR="004467C8" w:rsidRPr="00546EB1">
        <w:t>E</w:t>
      </w:r>
      <w:r w:rsidRPr="00546EB1">
        <w:t xml:space="preserve">ducación y </w:t>
      </w:r>
      <w:r w:rsidR="004467C8" w:rsidRPr="00546EB1">
        <w:t>A</w:t>
      </w:r>
      <w:r w:rsidRPr="00546EB1">
        <w:t xml:space="preserve">dministrativas hayan ingresado a la mencionada cuenta estatal. </w:t>
      </w:r>
    </w:p>
    <w:p w14:paraId="122B5050" w14:textId="77777777" w:rsidR="004467C8" w:rsidRPr="00546EB1" w:rsidRDefault="004467C8" w:rsidP="002308C0">
      <w:pPr>
        <w:autoSpaceDE w:val="0"/>
        <w:autoSpaceDN w:val="0"/>
        <w:adjustRightInd w:val="0"/>
        <w:jc w:val="both"/>
      </w:pPr>
    </w:p>
    <w:p w14:paraId="22B4DA3E" w14:textId="77777777" w:rsidR="002308C0" w:rsidRPr="00546EB1" w:rsidRDefault="00425A0D" w:rsidP="002308C0">
      <w:pPr>
        <w:autoSpaceDE w:val="0"/>
        <w:autoSpaceDN w:val="0"/>
        <w:adjustRightInd w:val="0"/>
        <w:jc w:val="both"/>
      </w:pPr>
      <w:r w:rsidRPr="00546EB1">
        <w:t xml:space="preserve">Por otro lado, </w:t>
      </w:r>
      <w:r w:rsidR="002308C0" w:rsidRPr="00546EB1">
        <w:t xml:space="preserve">la Contabilidad Nacional </w:t>
      </w:r>
      <w:r w:rsidRPr="00546EB1">
        <w:t xml:space="preserve">del Ministerio de Hacienda, </w:t>
      </w:r>
      <w:r w:rsidR="002308C0" w:rsidRPr="00546EB1">
        <w:t xml:space="preserve">al momento de la visita indicó que nunca se había realizado ninguna gestión </w:t>
      </w:r>
      <w:r w:rsidRPr="00546EB1">
        <w:t xml:space="preserve">o diligencia </w:t>
      </w:r>
      <w:r w:rsidR="002308C0" w:rsidRPr="00546EB1">
        <w:t>por parte de las autoridades de la DPE</w:t>
      </w:r>
      <w:r w:rsidR="003B3D0F">
        <w:t>,</w:t>
      </w:r>
      <w:r w:rsidR="002308C0" w:rsidRPr="00546EB1">
        <w:t xml:space="preserve"> </w:t>
      </w:r>
      <w:r w:rsidRPr="00546EB1">
        <w:t xml:space="preserve">para corroborar la condición pertinente de los enteros de gobierno por este concepto. </w:t>
      </w:r>
    </w:p>
    <w:p w14:paraId="0F253373" w14:textId="77777777" w:rsidR="002308C0" w:rsidRPr="00546EB1" w:rsidRDefault="002308C0" w:rsidP="00A209EA">
      <w:pPr>
        <w:jc w:val="both"/>
        <w:rPr>
          <w:b/>
        </w:rPr>
      </w:pPr>
    </w:p>
    <w:p w14:paraId="21337BBA" w14:textId="77777777" w:rsidR="00846071" w:rsidRPr="00546EB1" w:rsidRDefault="005C7EEE" w:rsidP="0052462F">
      <w:pPr>
        <w:autoSpaceDE w:val="0"/>
        <w:autoSpaceDN w:val="0"/>
        <w:adjustRightInd w:val="0"/>
        <w:jc w:val="both"/>
      </w:pPr>
      <w:r w:rsidRPr="00546EB1">
        <w:t xml:space="preserve">Al respecto, las </w:t>
      </w:r>
      <w:r w:rsidR="00846071" w:rsidRPr="00546EB1">
        <w:t xml:space="preserve">Normas de </w:t>
      </w:r>
      <w:r w:rsidRPr="00546EB1">
        <w:t>C</w:t>
      </w:r>
      <w:r w:rsidR="00846071" w:rsidRPr="00546EB1">
        <w:t xml:space="preserve">ontrol </w:t>
      </w:r>
      <w:r w:rsidRPr="00546EB1">
        <w:t>I</w:t>
      </w:r>
      <w:r w:rsidR="00846071" w:rsidRPr="00546EB1">
        <w:t>nterno para el Sector Público, norma 4.1 Actividades de control, a la letra indica:</w:t>
      </w:r>
    </w:p>
    <w:p w14:paraId="4F1E43D8" w14:textId="77777777" w:rsidR="00846071" w:rsidRPr="00546EB1" w:rsidRDefault="00846071" w:rsidP="00846071">
      <w:pPr>
        <w:autoSpaceDE w:val="0"/>
        <w:autoSpaceDN w:val="0"/>
        <w:adjustRightInd w:val="0"/>
        <w:rPr>
          <w:rFonts w:eastAsiaTheme="minorHAnsi"/>
          <w:sz w:val="22"/>
          <w:szCs w:val="22"/>
          <w:lang w:eastAsia="en-US"/>
        </w:rPr>
      </w:pPr>
    </w:p>
    <w:p w14:paraId="571D94ED" w14:textId="77777777" w:rsidR="00846071" w:rsidRPr="00546EB1" w:rsidRDefault="00846071" w:rsidP="00846071">
      <w:pPr>
        <w:ind w:left="567"/>
        <w:jc w:val="both"/>
        <w:rPr>
          <w:rFonts w:eastAsiaTheme="minorHAnsi"/>
          <w:i/>
          <w:sz w:val="22"/>
          <w:szCs w:val="22"/>
          <w:lang w:eastAsia="en-US"/>
        </w:rPr>
      </w:pPr>
      <w:r w:rsidRPr="00546EB1">
        <w:rPr>
          <w:rFonts w:eastAsiaTheme="minorHAnsi"/>
          <w:i/>
          <w:sz w:val="22"/>
          <w:szCs w:val="22"/>
          <w:lang w:eastAsia="en-US"/>
        </w:rPr>
        <w:t>El jerarca y los titulares subordinados, según sus competencias, deben diseñar, adoptar, evaluar y perfeccionar, como parte del SCI, las actividades de control pertinentes, las que comprenden las políticas, los procedimientos y los mecanismos que contribuyen a asegurar razonablemente la operación y el fortalecimiento del SCI y el logro de los objetivos institucionales...</w:t>
      </w:r>
    </w:p>
    <w:p w14:paraId="24E731AC" w14:textId="77777777" w:rsidR="00846071" w:rsidRPr="00546EB1" w:rsidRDefault="00846071" w:rsidP="00846071">
      <w:pPr>
        <w:jc w:val="both"/>
        <w:rPr>
          <w:b/>
        </w:rPr>
      </w:pPr>
    </w:p>
    <w:p w14:paraId="54696AB3" w14:textId="77777777" w:rsidR="00846071" w:rsidRPr="00546EB1" w:rsidRDefault="00846071" w:rsidP="005C7EEE">
      <w:pPr>
        <w:pStyle w:val="Default"/>
        <w:jc w:val="both"/>
        <w:rPr>
          <w:rFonts w:ascii="Times New Roman" w:eastAsia="Times New Roman" w:hAnsi="Times New Roman" w:cs="Times New Roman"/>
          <w:color w:val="auto"/>
          <w:lang w:val="es-ES" w:eastAsia="ar-SA"/>
        </w:rPr>
      </w:pPr>
      <w:r w:rsidRPr="00546EB1">
        <w:rPr>
          <w:rFonts w:ascii="Times New Roman" w:eastAsia="Times New Roman" w:hAnsi="Times New Roman" w:cs="Times New Roman"/>
          <w:color w:val="auto"/>
          <w:lang w:val="es-ES" w:eastAsia="ar-SA"/>
        </w:rPr>
        <w:t>Por otro lado, la Ley General de Control Interno, 8292, artículo 13, inciso b) Ambiente de control señala</w:t>
      </w:r>
      <w:r w:rsidR="005C7EEE" w:rsidRPr="00546EB1">
        <w:rPr>
          <w:rFonts w:ascii="Times New Roman" w:eastAsia="Times New Roman" w:hAnsi="Times New Roman" w:cs="Times New Roman"/>
          <w:color w:val="auto"/>
          <w:lang w:val="es-ES" w:eastAsia="ar-SA"/>
        </w:rPr>
        <w:t xml:space="preserve"> que se debe “</w:t>
      </w:r>
      <w:r w:rsidRPr="00546EB1">
        <w:rPr>
          <w:rFonts w:ascii="Times New Roman" w:hAnsi="Times New Roman" w:cs="Times New Roman"/>
          <w:i/>
        </w:rPr>
        <w:t>Desarrollar y mantener una filosofía y un estilo de gestión que permitan administrar un nivel de riesgo determinado, orientados al logro de resultados y a la medición del desempeño, y que promuevan una actitud abierta hacia mecanismos y procesos que mejoren el sistema de control interno</w:t>
      </w:r>
      <w:r w:rsidR="005C7EEE" w:rsidRPr="00546EB1">
        <w:rPr>
          <w:rFonts w:ascii="Times New Roman" w:hAnsi="Times New Roman" w:cs="Times New Roman"/>
          <w:i/>
        </w:rPr>
        <w:t>”</w:t>
      </w:r>
      <w:r w:rsidRPr="00546EB1">
        <w:rPr>
          <w:rFonts w:ascii="Times New Roman" w:hAnsi="Times New Roman" w:cs="Times New Roman"/>
          <w:i/>
        </w:rPr>
        <w:t>.</w:t>
      </w:r>
    </w:p>
    <w:p w14:paraId="6B2F3F59" w14:textId="77777777" w:rsidR="004467C8" w:rsidRPr="00546EB1" w:rsidRDefault="004467C8" w:rsidP="00846071">
      <w:pPr>
        <w:autoSpaceDE w:val="0"/>
        <w:autoSpaceDN w:val="0"/>
        <w:adjustRightInd w:val="0"/>
        <w:ind w:left="567"/>
        <w:jc w:val="both"/>
        <w:rPr>
          <w:rFonts w:eastAsiaTheme="minorHAnsi"/>
          <w:i/>
          <w:sz w:val="22"/>
          <w:szCs w:val="22"/>
          <w:lang w:eastAsia="en-US"/>
        </w:rPr>
      </w:pPr>
    </w:p>
    <w:p w14:paraId="75E77F49" w14:textId="1C070E1D" w:rsidR="00DC246B" w:rsidRDefault="004467C8" w:rsidP="004467C8">
      <w:pPr>
        <w:autoSpaceDE w:val="0"/>
        <w:autoSpaceDN w:val="0"/>
        <w:adjustRightInd w:val="0"/>
        <w:jc w:val="both"/>
      </w:pPr>
      <w:r w:rsidRPr="00546EB1">
        <w:lastRenderedPageBreak/>
        <w:t xml:space="preserve">La ausencia de controles y procedimientos que permitan cotejar la información recibida por parte de la Junta de Educación, Junta Administrativa y Direcciones Regionales, específicamente en lo relacionado a los reintegros de dinero, </w:t>
      </w:r>
      <w:r w:rsidR="005C7EEE" w:rsidRPr="00546EB1">
        <w:t xml:space="preserve">propicia </w:t>
      </w:r>
      <w:r w:rsidRPr="00546EB1">
        <w:t xml:space="preserve">que la misma no sea consistente ni confiable. Además del alto riesgo inherente que conlleva a una posible representación inexacta de los resultados, induciendo con ello a la Administración al error en la toma de decisiones. </w:t>
      </w:r>
    </w:p>
    <w:p w14:paraId="0DEFCCA6" w14:textId="77777777" w:rsidR="003D6DF8" w:rsidRPr="00DF7EF8" w:rsidRDefault="000B6C30" w:rsidP="00DF7EF8">
      <w:pPr>
        <w:pStyle w:val="Ttulo2"/>
        <w:jc w:val="both"/>
        <w:rPr>
          <w:sz w:val="24"/>
          <w:szCs w:val="24"/>
        </w:rPr>
      </w:pPr>
      <w:bookmarkStart w:id="13" w:name="_Toc3552502"/>
      <w:r w:rsidRPr="00DF7EF8">
        <w:rPr>
          <w:sz w:val="24"/>
          <w:szCs w:val="24"/>
        </w:rPr>
        <w:t>2.4</w:t>
      </w:r>
      <w:r w:rsidR="003D6DF8" w:rsidRPr="00DF7EF8">
        <w:rPr>
          <w:sz w:val="24"/>
          <w:szCs w:val="24"/>
        </w:rPr>
        <w:t xml:space="preserve"> Gestión </w:t>
      </w:r>
      <w:r w:rsidR="00946B04" w:rsidRPr="00DF7EF8">
        <w:rPr>
          <w:sz w:val="24"/>
          <w:szCs w:val="24"/>
        </w:rPr>
        <w:t>desa</w:t>
      </w:r>
      <w:r w:rsidR="003D6DF8" w:rsidRPr="00DF7EF8">
        <w:rPr>
          <w:sz w:val="24"/>
          <w:szCs w:val="24"/>
        </w:rPr>
        <w:t>rticulada entre la D</w:t>
      </w:r>
      <w:r w:rsidR="00946B04" w:rsidRPr="00DF7EF8">
        <w:rPr>
          <w:sz w:val="24"/>
          <w:szCs w:val="24"/>
        </w:rPr>
        <w:t xml:space="preserve">irección de </w:t>
      </w:r>
      <w:r w:rsidR="003D6DF8" w:rsidRPr="00DF7EF8">
        <w:rPr>
          <w:sz w:val="24"/>
          <w:szCs w:val="24"/>
        </w:rPr>
        <w:t>P</w:t>
      </w:r>
      <w:r w:rsidR="00946B04" w:rsidRPr="00DF7EF8">
        <w:rPr>
          <w:sz w:val="24"/>
          <w:szCs w:val="24"/>
        </w:rPr>
        <w:t xml:space="preserve">rogramas de </w:t>
      </w:r>
      <w:r w:rsidR="003D6DF8" w:rsidRPr="00DF7EF8">
        <w:rPr>
          <w:sz w:val="24"/>
          <w:szCs w:val="24"/>
        </w:rPr>
        <w:t>E</w:t>
      </w:r>
      <w:r w:rsidR="00946B04" w:rsidRPr="00DF7EF8">
        <w:rPr>
          <w:sz w:val="24"/>
          <w:szCs w:val="24"/>
        </w:rPr>
        <w:t>quidad</w:t>
      </w:r>
      <w:r w:rsidR="003D6DF8" w:rsidRPr="00DF7EF8">
        <w:rPr>
          <w:sz w:val="24"/>
          <w:szCs w:val="24"/>
        </w:rPr>
        <w:t xml:space="preserve"> y </w:t>
      </w:r>
      <w:r w:rsidR="00DB7F7F" w:rsidRPr="00DF7EF8">
        <w:rPr>
          <w:sz w:val="24"/>
          <w:szCs w:val="24"/>
        </w:rPr>
        <w:t xml:space="preserve">las </w:t>
      </w:r>
      <w:r w:rsidR="003D6DF8" w:rsidRPr="00DF7EF8">
        <w:rPr>
          <w:sz w:val="24"/>
          <w:szCs w:val="24"/>
        </w:rPr>
        <w:t>D</w:t>
      </w:r>
      <w:r w:rsidR="00946B04" w:rsidRPr="00DF7EF8">
        <w:rPr>
          <w:sz w:val="24"/>
          <w:szCs w:val="24"/>
        </w:rPr>
        <w:t xml:space="preserve">irecciones </w:t>
      </w:r>
      <w:r w:rsidR="003D6DF8" w:rsidRPr="00DF7EF8">
        <w:rPr>
          <w:sz w:val="24"/>
          <w:szCs w:val="24"/>
        </w:rPr>
        <w:t>R</w:t>
      </w:r>
      <w:r w:rsidR="00946B04" w:rsidRPr="00DF7EF8">
        <w:rPr>
          <w:sz w:val="24"/>
          <w:szCs w:val="24"/>
        </w:rPr>
        <w:t>egionales</w:t>
      </w:r>
      <w:r w:rsidR="00CA0455" w:rsidRPr="00DF7EF8">
        <w:rPr>
          <w:sz w:val="24"/>
          <w:szCs w:val="24"/>
        </w:rPr>
        <w:t xml:space="preserve"> de Educación</w:t>
      </w:r>
      <w:bookmarkEnd w:id="13"/>
    </w:p>
    <w:p w14:paraId="396F89E0" w14:textId="5F76D5DE" w:rsidR="004044FF" w:rsidRPr="00546EB1" w:rsidRDefault="004044FF" w:rsidP="004044FF">
      <w:pPr>
        <w:autoSpaceDE w:val="0"/>
        <w:autoSpaceDN w:val="0"/>
        <w:adjustRightInd w:val="0"/>
        <w:jc w:val="both"/>
      </w:pPr>
      <w:r w:rsidRPr="00546EB1">
        <w:t xml:space="preserve">Con el fin de medir el grado de cumplimiento de la Circular DPE-482-2016 del 28 de julio de 2016 </w:t>
      </w:r>
      <w:r w:rsidR="00D65589" w:rsidRPr="00546EB1">
        <w:t>denominada:</w:t>
      </w:r>
      <w:r w:rsidR="004A3BEF" w:rsidRPr="00546EB1">
        <w:t xml:space="preserve"> </w:t>
      </w:r>
      <w:r w:rsidRPr="00546EB1">
        <w:rPr>
          <w:i/>
        </w:rPr>
        <w:t>“Emisión del lineamiento para la revisión y análisis de la ejecución presupuestaria de los Programas de Equidad, administrados por las Juntas de Educación y Juntas Administrativas…”</w:t>
      </w:r>
      <w:r w:rsidRPr="00546EB1">
        <w:t xml:space="preserve">, </w:t>
      </w:r>
      <w:r w:rsidR="00946B04" w:rsidRPr="00546EB1">
        <w:t>la</w:t>
      </w:r>
      <w:r w:rsidRPr="00546EB1">
        <w:t xml:space="preserve"> cual deroga la circular DPE-736-2014; y la circular DPE-0571-2016</w:t>
      </w:r>
      <w:r w:rsidR="003708CB" w:rsidRPr="00546EB1">
        <w:t xml:space="preserve"> del 23 de setiembre de 2016 “Uso de saldos de recursos derivados de la ejecución de los Programas de Equidad de períodos anteriores al ejercicio económico 2016”</w:t>
      </w:r>
      <w:r w:rsidRPr="00546EB1">
        <w:t>, se procedió a aplicar un cuestionario a las Direcciones Regionales de Educación</w:t>
      </w:r>
      <w:r w:rsidR="00946B04" w:rsidRPr="00546EB1">
        <w:t>, mismo</w:t>
      </w:r>
      <w:r w:rsidRPr="00546EB1">
        <w:t xml:space="preserve"> </w:t>
      </w:r>
      <w:r w:rsidR="003708CB" w:rsidRPr="00546EB1">
        <w:t xml:space="preserve">que </w:t>
      </w:r>
      <w:r w:rsidRPr="00546EB1">
        <w:t>se remitió vía correo electrónico. De la información recibida se constató</w:t>
      </w:r>
      <w:r w:rsidR="00946B04" w:rsidRPr="00546EB1">
        <w:t xml:space="preserve"> que</w:t>
      </w:r>
      <w:r w:rsidRPr="00546EB1">
        <w:t xml:space="preserve">: </w:t>
      </w:r>
    </w:p>
    <w:p w14:paraId="07091984" w14:textId="77777777" w:rsidR="00DC1465" w:rsidRPr="00546EB1" w:rsidRDefault="00DC1465" w:rsidP="004044FF">
      <w:pPr>
        <w:autoSpaceDE w:val="0"/>
        <w:autoSpaceDN w:val="0"/>
        <w:adjustRightInd w:val="0"/>
        <w:jc w:val="both"/>
      </w:pPr>
    </w:p>
    <w:p w14:paraId="032486D8" w14:textId="77777777" w:rsidR="004044FF" w:rsidRPr="00546EB1" w:rsidRDefault="004044FF" w:rsidP="004044FF">
      <w:pPr>
        <w:pStyle w:val="Prrafodelista"/>
        <w:numPr>
          <w:ilvl w:val="0"/>
          <w:numId w:val="11"/>
        </w:numPr>
        <w:autoSpaceDE w:val="0"/>
        <w:autoSpaceDN w:val="0"/>
        <w:adjustRightInd w:val="0"/>
        <w:spacing w:after="0" w:line="240" w:lineRule="auto"/>
        <w:ind w:left="284"/>
        <w:jc w:val="both"/>
        <w:rPr>
          <w:rFonts w:ascii="Times New Roman" w:hAnsi="Times New Roman" w:cs="Times New Roman"/>
          <w:sz w:val="24"/>
          <w:szCs w:val="24"/>
        </w:rPr>
      </w:pPr>
      <w:r w:rsidRPr="00546EB1">
        <w:rPr>
          <w:rFonts w:ascii="Times New Roman" w:hAnsi="Times New Roman" w:cs="Times New Roman"/>
          <w:sz w:val="24"/>
          <w:szCs w:val="24"/>
        </w:rPr>
        <w:t>19 Direcciones Regionales de Educación externan que no recibieron ningún tipo de seguimiento por parte de la Dirección de Programas de Equidad, para llevar a cabo el cumplimiento de las circulares en mención.</w:t>
      </w:r>
    </w:p>
    <w:p w14:paraId="2B55AE30" w14:textId="77777777" w:rsidR="004044FF" w:rsidRPr="00546EB1" w:rsidRDefault="00DC1465" w:rsidP="004044FF">
      <w:pPr>
        <w:pStyle w:val="Prrafodelista"/>
        <w:numPr>
          <w:ilvl w:val="0"/>
          <w:numId w:val="11"/>
        </w:numPr>
        <w:autoSpaceDE w:val="0"/>
        <w:autoSpaceDN w:val="0"/>
        <w:adjustRightInd w:val="0"/>
        <w:spacing w:after="0" w:line="240" w:lineRule="auto"/>
        <w:ind w:left="284"/>
        <w:jc w:val="both"/>
        <w:rPr>
          <w:rFonts w:ascii="Times New Roman" w:hAnsi="Times New Roman" w:cs="Times New Roman"/>
          <w:sz w:val="24"/>
          <w:szCs w:val="24"/>
        </w:rPr>
      </w:pPr>
      <w:r w:rsidRPr="00546EB1">
        <w:rPr>
          <w:rFonts w:ascii="Times New Roman" w:hAnsi="Times New Roman" w:cs="Times New Roman"/>
          <w:sz w:val="24"/>
          <w:szCs w:val="24"/>
        </w:rPr>
        <w:t>2</w:t>
      </w:r>
      <w:r w:rsidR="004044FF" w:rsidRPr="00546EB1">
        <w:rPr>
          <w:rFonts w:ascii="Times New Roman" w:hAnsi="Times New Roman" w:cs="Times New Roman"/>
          <w:sz w:val="24"/>
          <w:szCs w:val="24"/>
        </w:rPr>
        <w:t>1 Direcciones Regionales de Educación, indican que los funcionarios de la DPE no se apersona</w:t>
      </w:r>
      <w:r w:rsidRPr="00546EB1">
        <w:rPr>
          <w:rFonts w:ascii="Times New Roman" w:hAnsi="Times New Roman" w:cs="Times New Roman"/>
          <w:sz w:val="24"/>
          <w:szCs w:val="24"/>
        </w:rPr>
        <w:t>ron</w:t>
      </w:r>
      <w:r w:rsidR="004044FF" w:rsidRPr="00546EB1">
        <w:rPr>
          <w:rFonts w:ascii="Times New Roman" w:hAnsi="Times New Roman" w:cs="Times New Roman"/>
          <w:sz w:val="24"/>
          <w:szCs w:val="24"/>
        </w:rPr>
        <w:t xml:space="preserve"> para asesorar y dar acompañamiento al Departamento de Servicios Administrativos y Financieros para el cumplimiento de las circulares DPE-482-2016 y DPE-0571-2016, en las otras, el asesoramiento por lo general es mediante correo, </w:t>
      </w:r>
      <w:r w:rsidRPr="00546EB1">
        <w:rPr>
          <w:rFonts w:ascii="Times New Roman" w:hAnsi="Times New Roman" w:cs="Times New Roman"/>
          <w:sz w:val="24"/>
          <w:szCs w:val="24"/>
        </w:rPr>
        <w:t xml:space="preserve">que ante las dudas que surgen </w:t>
      </w:r>
      <w:r w:rsidR="004044FF" w:rsidRPr="00546EB1">
        <w:rPr>
          <w:rFonts w:ascii="Times New Roman" w:hAnsi="Times New Roman" w:cs="Times New Roman"/>
          <w:sz w:val="24"/>
          <w:szCs w:val="24"/>
        </w:rPr>
        <w:t>se solicit</w:t>
      </w:r>
      <w:r w:rsidRPr="00546EB1">
        <w:rPr>
          <w:rFonts w:ascii="Times New Roman" w:hAnsi="Times New Roman" w:cs="Times New Roman"/>
          <w:sz w:val="24"/>
          <w:szCs w:val="24"/>
        </w:rPr>
        <w:t>ó</w:t>
      </w:r>
      <w:r w:rsidR="004044FF" w:rsidRPr="00546EB1">
        <w:rPr>
          <w:rFonts w:ascii="Times New Roman" w:hAnsi="Times New Roman" w:cs="Times New Roman"/>
          <w:sz w:val="24"/>
          <w:szCs w:val="24"/>
        </w:rPr>
        <w:t xml:space="preserve"> información y aclaración </w:t>
      </w:r>
      <w:r w:rsidRPr="00546EB1">
        <w:rPr>
          <w:rFonts w:ascii="Times New Roman" w:hAnsi="Times New Roman" w:cs="Times New Roman"/>
          <w:sz w:val="24"/>
          <w:szCs w:val="24"/>
        </w:rPr>
        <w:t>al respecto</w:t>
      </w:r>
      <w:r w:rsidR="004044FF" w:rsidRPr="00546EB1">
        <w:rPr>
          <w:rFonts w:ascii="Times New Roman" w:hAnsi="Times New Roman" w:cs="Times New Roman"/>
          <w:sz w:val="24"/>
          <w:szCs w:val="24"/>
        </w:rPr>
        <w:t>.</w:t>
      </w:r>
    </w:p>
    <w:p w14:paraId="1108373E" w14:textId="77777777" w:rsidR="004044FF" w:rsidRPr="00546EB1" w:rsidRDefault="004044FF" w:rsidP="004044FF">
      <w:pPr>
        <w:pStyle w:val="Prrafodelista"/>
        <w:numPr>
          <w:ilvl w:val="0"/>
          <w:numId w:val="11"/>
        </w:numPr>
        <w:autoSpaceDE w:val="0"/>
        <w:autoSpaceDN w:val="0"/>
        <w:adjustRightInd w:val="0"/>
        <w:spacing w:after="0" w:line="240" w:lineRule="auto"/>
        <w:ind w:left="284"/>
        <w:jc w:val="both"/>
        <w:rPr>
          <w:rFonts w:ascii="Times New Roman" w:hAnsi="Times New Roman"/>
          <w:sz w:val="24"/>
          <w:szCs w:val="24"/>
        </w:rPr>
      </w:pPr>
      <w:r w:rsidRPr="00546EB1">
        <w:rPr>
          <w:rFonts w:ascii="Times New Roman" w:hAnsi="Times New Roman"/>
          <w:sz w:val="24"/>
          <w:szCs w:val="24"/>
        </w:rPr>
        <w:t>Algunos DESAF para analizar los informes económicos lo ejecutan mediante una pequeña muestra. Esto debido a la falta de personal destacado, en virtud que en algunos casos se mantienen sólo 2 funcionarios para atender 350 centros educativos de una región.</w:t>
      </w:r>
    </w:p>
    <w:p w14:paraId="033BFACD" w14:textId="77777777" w:rsidR="004044FF" w:rsidRPr="00546EB1" w:rsidRDefault="004044FF" w:rsidP="00453D12">
      <w:pPr>
        <w:jc w:val="both"/>
        <w:rPr>
          <w:rFonts w:eastAsiaTheme="minorHAnsi" w:cstheme="minorBidi"/>
          <w:lang w:eastAsia="en-US"/>
        </w:rPr>
      </w:pPr>
    </w:p>
    <w:p w14:paraId="2F114392" w14:textId="77777777" w:rsidR="00E5122E" w:rsidRPr="00546EB1" w:rsidRDefault="00E5122E" w:rsidP="00946B04">
      <w:pPr>
        <w:pStyle w:val="Default"/>
        <w:jc w:val="both"/>
        <w:rPr>
          <w:rFonts w:ascii="Times New Roman" w:eastAsia="Times New Roman" w:hAnsi="Times New Roman" w:cs="Times New Roman"/>
          <w:color w:val="auto"/>
          <w:lang w:val="es-ES" w:eastAsia="ar-SA"/>
        </w:rPr>
      </w:pPr>
      <w:r w:rsidRPr="00546EB1">
        <w:rPr>
          <w:rFonts w:ascii="Times New Roman" w:eastAsia="Times New Roman" w:hAnsi="Times New Roman" w:cs="Times New Roman"/>
          <w:color w:val="auto"/>
          <w:lang w:val="es-ES" w:eastAsia="ar-SA"/>
        </w:rPr>
        <w:t xml:space="preserve">Esta desatención </w:t>
      </w:r>
      <w:r w:rsidR="00946B04" w:rsidRPr="00546EB1">
        <w:rPr>
          <w:rFonts w:ascii="Times New Roman" w:eastAsia="Times New Roman" w:hAnsi="Times New Roman" w:cs="Times New Roman"/>
          <w:color w:val="auto"/>
          <w:lang w:val="es-ES" w:eastAsia="ar-SA"/>
        </w:rPr>
        <w:t xml:space="preserve">y falta de procesos de coordinación, </w:t>
      </w:r>
      <w:r w:rsidRPr="00546EB1">
        <w:rPr>
          <w:rFonts w:ascii="Times New Roman" w:eastAsia="Times New Roman" w:hAnsi="Times New Roman" w:cs="Times New Roman"/>
          <w:color w:val="auto"/>
          <w:lang w:val="es-ES" w:eastAsia="ar-SA"/>
        </w:rPr>
        <w:t xml:space="preserve">contraviene lo establecido por la Ley General de Control Interno, 8292, artículo 13, inciso b) Ambiente de control </w:t>
      </w:r>
      <w:r w:rsidR="00946B04" w:rsidRPr="00546EB1">
        <w:rPr>
          <w:rFonts w:ascii="Times New Roman" w:eastAsia="Times New Roman" w:hAnsi="Times New Roman" w:cs="Times New Roman"/>
          <w:color w:val="auto"/>
          <w:lang w:val="es-ES" w:eastAsia="ar-SA"/>
        </w:rPr>
        <w:t xml:space="preserve"> el cual </w:t>
      </w:r>
      <w:r w:rsidRPr="00546EB1">
        <w:rPr>
          <w:rFonts w:ascii="Times New Roman" w:eastAsia="Times New Roman" w:hAnsi="Times New Roman" w:cs="Times New Roman"/>
          <w:color w:val="auto"/>
          <w:lang w:val="es-ES" w:eastAsia="ar-SA"/>
        </w:rPr>
        <w:t>señala</w:t>
      </w:r>
      <w:r w:rsidR="00946B04" w:rsidRPr="00546EB1">
        <w:rPr>
          <w:rFonts w:ascii="Times New Roman" w:eastAsia="Times New Roman" w:hAnsi="Times New Roman" w:cs="Times New Roman"/>
          <w:color w:val="auto"/>
          <w:lang w:val="es-ES" w:eastAsia="ar-SA"/>
        </w:rPr>
        <w:t xml:space="preserve"> que la Administración debe  “</w:t>
      </w:r>
      <w:r w:rsidRPr="00546EB1">
        <w:rPr>
          <w:rFonts w:ascii="Times New Roman" w:hAnsi="Times New Roman" w:cs="Times New Roman"/>
          <w:i/>
        </w:rPr>
        <w:t>Desarrollar y mantener una filosofía y un estilo de gestión que permitan administrar un nivel de riesgo determinado, orientados al logro de resultados y a la medición del desempeño, y que promuevan una actitud abierta hacia mecanismos y procesos que mejoren el sistema de control interno</w:t>
      </w:r>
      <w:r w:rsidR="00946B04" w:rsidRPr="00546EB1">
        <w:rPr>
          <w:rFonts w:ascii="Times New Roman" w:hAnsi="Times New Roman" w:cs="Times New Roman"/>
          <w:i/>
        </w:rPr>
        <w:t>”</w:t>
      </w:r>
      <w:r w:rsidRPr="00546EB1">
        <w:rPr>
          <w:rFonts w:ascii="Times New Roman" w:hAnsi="Times New Roman" w:cs="Times New Roman"/>
          <w:i/>
        </w:rPr>
        <w:t>.</w:t>
      </w:r>
    </w:p>
    <w:p w14:paraId="4459FB41" w14:textId="77777777" w:rsidR="00946B04" w:rsidRPr="00546EB1" w:rsidRDefault="00946B04" w:rsidP="00946B04">
      <w:pPr>
        <w:jc w:val="both"/>
        <w:rPr>
          <w:rFonts w:eastAsiaTheme="minorHAnsi" w:cstheme="minorBidi"/>
          <w:lang w:eastAsia="en-US"/>
        </w:rPr>
      </w:pPr>
    </w:p>
    <w:p w14:paraId="4B08B478" w14:textId="77777777" w:rsidR="00946B04" w:rsidRPr="00546EB1" w:rsidRDefault="00946B04" w:rsidP="00946B04">
      <w:pPr>
        <w:jc w:val="both"/>
        <w:rPr>
          <w:rFonts w:eastAsiaTheme="minorHAnsi" w:cstheme="minorBidi"/>
          <w:lang w:eastAsia="en-US"/>
        </w:rPr>
      </w:pPr>
      <w:r w:rsidRPr="00546EB1">
        <w:rPr>
          <w:rFonts w:eastAsiaTheme="minorHAnsi" w:cstheme="minorBidi"/>
          <w:lang w:eastAsia="en-US"/>
        </w:rPr>
        <w:t>Esta situación encontrada podría generar confusión y mala interpretación de las directrices, además de eventuales atrasos de la información solicitada por las oficinas centrales a las Direcciones Regionales de Educación, Juntas Administrativas y de Educación. Aunado a la ausencia de revisión de informes económicos, aumentando el riesgo en la ejecución de dichos fondos.</w:t>
      </w:r>
    </w:p>
    <w:p w14:paraId="55B53A49" w14:textId="77777777" w:rsidR="00DC235F" w:rsidRDefault="00DC235F" w:rsidP="00DF7EF8">
      <w:pPr>
        <w:pStyle w:val="Ttulo2"/>
        <w:jc w:val="both"/>
        <w:rPr>
          <w:sz w:val="24"/>
          <w:szCs w:val="24"/>
        </w:rPr>
      </w:pPr>
      <w:bookmarkStart w:id="14" w:name="_Toc3552503"/>
    </w:p>
    <w:p w14:paraId="2CC4BC32" w14:textId="77777777" w:rsidR="00DC1465" w:rsidRPr="00DF7EF8" w:rsidRDefault="000B6C30" w:rsidP="00DF7EF8">
      <w:pPr>
        <w:pStyle w:val="Ttulo2"/>
        <w:jc w:val="both"/>
        <w:rPr>
          <w:sz w:val="24"/>
          <w:szCs w:val="24"/>
        </w:rPr>
      </w:pPr>
      <w:r w:rsidRPr="00DF7EF8">
        <w:rPr>
          <w:sz w:val="24"/>
          <w:szCs w:val="24"/>
        </w:rPr>
        <w:lastRenderedPageBreak/>
        <w:t>2.5</w:t>
      </w:r>
      <w:r w:rsidR="000E57C3" w:rsidRPr="00DF7EF8">
        <w:rPr>
          <w:sz w:val="24"/>
          <w:szCs w:val="24"/>
        </w:rPr>
        <w:t xml:space="preserve"> Valoración Control Interno</w:t>
      </w:r>
      <w:bookmarkEnd w:id="14"/>
    </w:p>
    <w:p w14:paraId="26342361" w14:textId="2489F4DD" w:rsidR="003B3D0F" w:rsidRPr="00546EB1" w:rsidRDefault="001B5293" w:rsidP="00484250">
      <w:pPr>
        <w:jc w:val="both"/>
      </w:pPr>
      <w:r w:rsidRPr="00546EB1">
        <w:t xml:space="preserve">Con el fin verificar el grado de madurez de control interno de la Dirección de Programas de Equidad, se procedió aplicar un cuestionario en dicha materia, </w:t>
      </w:r>
      <w:r w:rsidR="00345BF3" w:rsidRPr="00546EB1">
        <w:t>Al respecto se determina lo siguiente</w:t>
      </w:r>
      <w:r w:rsidR="007512DA" w:rsidRPr="00546EB1">
        <w:t>.</w:t>
      </w:r>
      <w:r w:rsidR="00345BF3" w:rsidRPr="00546EB1">
        <w:t xml:space="preserve"> </w:t>
      </w:r>
    </w:p>
    <w:p w14:paraId="393E03E6" w14:textId="77777777" w:rsidR="00937D73" w:rsidRPr="00DF7EF8" w:rsidRDefault="000B6C30" w:rsidP="00DF7EF8">
      <w:pPr>
        <w:pStyle w:val="Ttulo3"/>
        <w:jc w:val="both"/>
        <w:rPr>
          <w:rFonts w:ascii="Times New Roman" w:eastAsia="Times New Roman" w:hAnsi="Times New Roman" w:cs="Times New Roman"/>
          <w:color w:val="auto"/>
        </w:rPr>
      </w:pPr>
      <w:bookmarkStart w:id="15" w:name="_Toc3552504"/>
      <w:r w:rsidRPr="00DF7EF8">
        <w:rPr>
          <w:rFonts w:ascii="Times New Roman" w:eastAsia="Times New Roman" w:hAnsi="Times New Roman" w:cs="Times New Roman"/>
          <w:color w:val="auto"/>
        </w:rPr>
        <w:t>2.5</w:t>
      </w:r>
      <w:r w:rsidR="007512DA" w:rsidRPr="00DF7EF8">
        <w:rPr>
          <w:rFonts w:ascii="Times New Roman" w:eastAsia="Times New Roman" w:hAnsi="Times New Roman" w:cs="Times New Roman"/>
          <w:color w:val="auto"/>
        </w:rPr>
        <w:t xml:space="preserve">.1 </w:t>
      </w:r>
      <w:bookmarkStart w:id="16" w:name="_Hlk530233493"/>
      <w:r w:rsidR="00484250" w:rsidRPr="00DF7EF8">
        <w:rPr>
          <w:rFonts w:ascii="Times New Roman" w:eastAsia="Times New Roman" w:hAnsi="Times New Roman" w:cs="Times New Roman"/>
          <w:color w:val="auto"/>
        </w:rPr>
        <w:t>Ambiente de Control</w:t>
      </w:r>
      <w:bookmarkEnd w:id="15"/>
      <w:bookmarkEnd w:id="16"/>
    </w:p>
    <w:p w14:paraId="1B286938" w14:textId="77777777" w:rsidR="00852C6C" w:rsidRPr="00546EB1" w:rsidRDefault="00852C6C" w:rsidP="004A3BEF">
      <w:pPr>
        <w:pStyle w:val="Default"/>
        <w:jc w:val="both"/>
        <w:rPr>
          <w:rFonts w:ascii="Times New Roman" w:eastAsia="Times New Roman" w:hAnsi="Times New Roman" w:cs="Times New Roman"/>
          <w:lang w:eastAsia="ar-SA"/>
        </w:rPr>
      </w:pPr>
    </w:p>
    <w:p w14:paraId="78595AF0" w14:textId="2658CE8D" w:rsidR="00260839" w:rsidRPr="00546EB1" w:rsidRDefault="00345BF3" w:rsidP="004A3BEF">
      <w:pPr>
        <w:pStyle w:val="Default"/>
        <w:jc w:val="both"/>
        <w:rPr>
          <w:rFonts w:ascii="Times New Roman" w:eastAsia="Times New Roman" w:hAnsi="Times New Roman" w:cs="Times New Roman"/>
          <w:b/>
          <w:color w:val="auto"/>
          <w:lang w:val="es-ES" w:eastAsia="ar-SA"/>
        </w:rPr>
      </w:pPr>
      <w:r w:rsidRPr="00546EB1">
        <w:rPr>
          <w:rFonts w:ascii="Times New Roman" w:eastAsia="Times New Roman" w:hAnsi="Times New Roman" w:cs="Times New Roman"/>
          <w:lang w:eastAsia="ar-SA"/>
        </w:rPr>
        <w:t>L</w:t>
      </w:r>
      <w:r w:rsidR="00484250" w:rsidRPr="00546EB1">
        <w:rPr>
          <w:rFonts w:ascii="Times New Roman" w:eastAsia="Times New Roman" w:hAnsi="Times New Roman" w:cs="Times New Roman"/>
          <w:lang w:eastAsia="ar-SA"/>
        </w:rPr>
        <w:t xml:space="preserve">os Lineamientos de la Dirección de Programas de Equidad se encuentran en proceso de revisión, actualización y aprobación por parte de la Dirección de Programas de Equidad, pues los vigentes corresponden al año 2012. Sobre este aspecto es importante indicar que dicho instrumento permite dotar a los diferentes actores del proceso, llámese directores, comité de nutrición, junta administrativa, </w:t>
      </w:r>
      <w:r w:rsidR="003B3D0F">
        <w:rPr>
          <w:rFonts w:ascii="Times New Roman" w:eastAsia="Times New Roman" w:hAnsi="Times New Roman" w:cs="Times New Roman"/>
          <w:lang w:eastAsia="ar-SA"/>
        </w:rPr>
        <w:t>entre otros</w:t>
      </w:r>
      <w:r w:rsidR="00484250" w:rsidRPr="00546EB1">
        <w:rPr>
          <w:rFonts w:ascii="Times New Roman" w:eastAsia="Times New Roman" w:hAnsi="Times New Roman" w:cs="Times New Roman"/>
          <w:lang w:eastAsia="ar-SA"/>
        </w:rPr>
        <w:t>, de una guía técnica</w:t>
      </w:r>
      <w:r w:rsidRPr="00546EB1">
        <w:rPr>
          <w:rFonts w:ascii="Times New Roman" w:eastAsia="Times New Roman" w:hAnsi="Times New Roman" w:cs="Times New Roman"/>
          <w:lang w:eastAsia="ar-SA"/>
        </w:rPr>
        <w:t>,</w:t>
      </w:r>
      <w:r w:rsidR="00484250" w:rsidRPr="00546EB1">
        <w:rPr>
          <w:rFonts w:ascii="Times New Roman" w:eastAsia="Times New Roman" w:hAnsi="Times New Roman" w:cs="Times New Roman"/>
          <w:lang w:eastAsia="ar-SA"/>
        </w:rPr>
        <w:t xml:space="preserve"> legal y operativa, que les permita hacer más fácil su tarea en cuanto al manejo y atención de los programas </w:t>
      </w:r>
      <w:r w:rsidRPr="00546EB1">
        <w:rPr>
          <w:rFonts w:ascii="Times New Roman" w:eastAsia="Times New Roman" w:hAnsi="Times New Roman" w:cs="Times New Roman"/>
          <w:lang w:eastAsia="ar-SA"/>
        </w:rPr>
        <w:t>pertinentes</w:t>
      </w:r>
      <w:r w:rsidR="00484250" w:rsidRPr="00546EB1">
        <w:rPr>
          <w:rFonts w:ascii="Times New Roman" w:eastAsia="Times New Roman" w:hAnsi="Times New Roman" w:cs="Times New Roman"/>
          <w:lang w:eastAsia="ar-SA"/>
        </w:rPr>
        <w:t xml:space="preserve">, de </w:t>
      </w:r>
      <w:r w:rsidRPr="00546EB1">
        <w:rPr>
          <w:rFonts w:ascii="Times New Roman" w:eastAsia="Times New Roman" w:hAnsi="Times New Roman" w:cs="Times New Roman"/>
          <w:lang w:eastAsia="ar-SA"/>
        </w:rPr>
        <w:t xml:space="preserve">modo </w:t>
      </w:r>
      <w:r w:rsidR="00484250" w:rsidRPr="00546EB1">
        <w:rPr>
          <w:rFonts w:ascii="Times New Roman" w:eastAsia="Times New Roman" w:hAnsi="Times New Roman" w:cs="Times New Roman"/>
          <w:lang w:eastAsia="ar-SA"/>
        </w:rPr>
        <w:t xml:space="preserve">que se pueda mejorar la atención y control de los procesos y son de acatamiento obligatorio; razones que justifican </w:t>
      </w:r>
      <w:r w:rsidRPr="00546EB1">
        <w:rPr>
          <w:rFonts w:ascii="Times New Roman" w:eastAsia="Times New Roman" w:hAnsi="Times New Roman" w:cs="Times New Roman"/>
          <w:lang w:eastAsia="ar-SA"/>
        </w:rPr>
        <w:t xml:space="preserve">la necesidad de que estén actualizados y acordes a los eventuales cambios que </w:t>
      </w:r>
      <w:r w:rsidR="00260839" w:rsidRPr="00546EB1">
        <w:rPr>
          <w:rFonts w:ascii="Times New Roman" w:eastAsia="Times New Roman" w:hAnsi="Times New Roman" w:cs="Times New Roman"/>
          <w:lang w:eastAsia="ar-SA"/>
        </w:rPr>
        <w:t>son</w:t>
      </w:r>
      <w:r w:rsidRPr="00546EB1">
        <w:rPr>
          <w:rFonts w:ascii="Times New Roman" w:eastAsia="Times New Roman" w:hAnsi="Times New Roman" w:cs="Times New Roman"/>
          <w:lang w:eastAsia="ar-SA"/>
        </w:rPr>
        <w:t xml:space="preserve"> sometidos los procesos</w:t>
      </w:r>
      <w:r w:rsidR="000D1B9B" w:rsidRPr="00546EB1">
        <w:rPr>
          <w:rFonts w:ascii="Times New Roman" w:eastAsia="Times New Roman" w:hAnsi="Times New Roman" w:cs="Times New Roman"/>
          <w:lang w:eastAsia="ar-SA"/>
        </w:rPr>
        <w:t>.</w:t>
      </w:r>
    </w:p>
    <w:p w14:paraId="1702A1FA" w14:textId="77777777" w:rsidR="00E167B9" w:rsidRPr="00546EB1" w:rsidRDefault="00E167B9" w:rsidP="000D1B9B">
      <w:pPr>
        <w:pStyle w:val="Prrafodelista"/>
        <w:ind w:left="0"/>
        <w:jc w:val="both"/>
        <w:rPr>
          <w:rFonts w:ascii="Times New Roman" w:eastAsia="Times New Roman" w:hAnsi="Times New Roman" w:cs="Times New Roman"/>
          <w:sz w:val="24"/>
          <w:szCs w:val="24"/>
          <w:lang w:eastAsia="ar-SA"/>
        </w:rPr>
      </w:pPr>
    </w:p>
    <w:p w14:paraId="5B0C9FCD" w14:textId="77777777" w:rsidR="00CA4AA7" w:rsidRPr="00546EB1" w:rsidRDefault="000D1B9B" w:rsidP="00937D73">
      <w:pPr>
        <w:pStyle w:val="Prrafodelista"/>
        <w:spacing w:line="240" w:lineRule="auto"/>
        <w:ind w:left="0"/>
        <w:jc w:val="both"/>
        <w:rPr>
          <w:rFonts w:ascii="Times New Roman" w:eastAsia="Times New Roman" w:hAnsi="Times New Roman" w:cs="Times New Roman"/>
          <w:sz w:val="24"/>
          <w:szCs w:val="24"/>
          <w:lang w:eastAsia="ar-SA"/>
        </w:rPr>
      </w:pPr>
      <w:r w:rsidRPr="00546EB1">
        <w:rPr>
          <w:rFonts w:ascii="Times New Roman" w:eastAsia="Times New Roman" w:hAnsi="Times New Roman" w:cs="Times New Roman"/>
          <w:sz w:val="24"/>
          <w:szCs w:val="24"/>
          <w:lang w:eastAsia="ar-SA"/>
        </w:rPr>
        <w:t xml:space="preserve">Es importante señalar </w:t>
      </w:r>
      <w:r w:rsidR="00C45F5A" w:rsidRPr="00546EB1">
        <w:rPr>
          <w:rFonts w:ascii="Times New Roman" w:eastAsia="Times New Roman" w:hAnsi="Times New Roman" w:cs="Times New Roman"/>
          <w:sz w:val="24"/>
          <w:szCs w:val="24"/>
          <w:lang w:eastAsia="ar-SA"/>
        </w:rPr>
        <w:t xml:space="preserve">que </w:t>
      </w:r>
      <w:r w:rsidRPr="00546EB1">
        <w:rPr>
          <w:rFonts w:ascii="Times New Roman" w:eastAsia="Times New Roman" w:hAnsi="Times New Roman" w:cs="Times New Roman"/>
          <w:sz w:val="24"/>
          <w:szCs w:val="24"/>
          <w:lang w:eastAsia="ar-SA"/>
        </w:rPr>
        <w:t xml:space="preserve">sobre </w:t>
      </w:r>
      <w:r w:rsidR="004A3BEF" w:rsidRPr="00546EB1">
        <w:rPr>
          <w:rFonts w:ascii="Times New Roman" w:eastAsia="Times New Roman" w:hAnsi="Times New Roman" w:cs="Times New Roman"/>
          <w:sz w:val="24"/>
          <w:szCs w:val="24"/>
          <w:lang w:eastAsia="ar-SA"/>
        </w:rPr>
        <w:t>este aspecto</w:t>
      </w:r>
      <w:r w:rsidR="00C45F5A" w:rsidRPr="00546EB1">
        <w:rPr>
          <w:rFonts w:ascii="Times New Roman" w:eastAsia="Times New Roman" w:hAnsi="Times New Roman" w:cs="Times New Roman"/>
          <w:sz w:val="24"/>
          <w:szCs w:val="24"/>
          <w:lang w:eastAsia="ar-SA"/>
        </w:rPr>
        <w:t xml:space="preserve"> la Auditoría Interna se había manifestado </w:t>
      </w:r>
      <w:r w:rsidR="00CA4AA7" w:rsidRPr="00546EB1">
        <w:rPr>
          <w:rFonts w:ascii="Times New Roman" w:eastAsia="Times New Roman" w:hAnsi="Times New Roman" w:cs="Times New Roman"/>
          <w:sz w:val="24"/>
          <w:szCs w:val="24"/>
          <w:lang w:eastAsia="ar-SA"/>
        </w:rPr>
        <w:t>mediante</w:t>
      </w:r>
      <w:r w:rsidRPr="00546EB1">
        <w:rPr>
          <w:rFonts w:ascii="Times New Roman" w:eastAsia="Times New Roman" w:hAnsi="Times New Roman" w:cs="Times New Roman"/>
          <w:sz w:val="24"/>
          <w:szCs w:val="24"/>
          <w:lang w:eastAsia="ar-SA"/>
        </w:rPr>
        <w:t xml:space="preserve"> el informe 40-16 CTP de Jicaral</w:t>
      </w:r>
      <w:r w:rsidR="00CA4AA7" w:rsidRPr="00546EB1">
        <w:rPr>
          <w:rFonts w:ascii="Times New Roman" w:eastAsia="Times New Roman" w:hAnsi="Times New Roman" w:cs="Times New Roman"/>
          <w:sz w:val="24"/>
          <w:szCs w:val="24"/>
          <w:lang w:eastAsia="ar-SA"/>
        </w:rPr>
        <w:t xml:space="preserve">, </w:t>
      </w:r>
      <w:r w:rsidR="00C45F5A" w:rsidRPr="00546EB1">
        <w:rPr>
          <w:rFonts w:ascii="Times New Roman" w:eastAsia="Times New Roman" w:hAnsi="Times New Roman" w:cs="Times New Roman"/>
          <w:sz w:val="24"/>
          <w:szCs w:val="24"/>
          <w:lang w:eastAsia="ar-SA"/>
        </w:rPr>
        <w:t xml:space="preserve">en el cual </w:t>
      </w:r>
      <w:r w:rsidR="00CA4AA7" w:rsidRPr="00546EB1">
        <w:rPr>
          <w:rFonts w:ascii="Times New Roman" w:eastAsia="Times New Roman" w:hAnsi="Times New Roman" w:cs="Times New Roman"/>
          <w:sz w:val="24"/>
          <w:szCs w:val="24"/>
          <w:lang w:eastAsia="ar-SA"/>
        </w:rPr>
        <w:t xml:space="preserve">se emite </w:t>
      </w:r>
      <w:r w:rsidRPr="00546EB1">
        <w:rPr>
          <w:rFonts w:ascii="Times New Roman" w:eastAsia="Times New Roman" w:hAnsi="Times New Roman" w:cs="Times New Roman"/>
          <w:sz w:val="24"/>
          <w:szCs w:val="24"/>
          <w:lang w:eastAsia="ar-SA"/>
        </w:rPr>
        <w:t>la recomendación 4.25</w:t>
      </w:r>
      <w:r w:rsidR="00CA4AA7" w:rsidRPr="00546EB1">
        <w:rPr>
          <w:rFonts w:ascii="Times New Roman" w:eastAsia="Times New Roman" w:hAnsi="Times New Roman" w:cs="Times New Roman"/>
          <w:sz w:val="24"/>
          <w:szCs w:val="24"/>
          <w:lang w:eastAsia="ar-SA"/>
        </w:rPr>
        <w:t xml:space="preserve"> indica</w:t>
      </w:r>
      <w:r w:rsidR="00C45F5A" w:rsidRPr="00546EB1">
        <w:rPr>
          <w:rFonts w:ascii="Times New Roman" w:eastAsia="Times New Roman" w:hAnsi="Times New Roman" w:cs="Times New Roman"/>
          <w:sz w:val="24"/>
          <w:szCs w:val="24"/>
          <w:lang w:eastAsia="ar-SA"/>
        </w:rPr>
        <w:t>ndo</w:t>
      </w:r>
      <w:r w:rsidR="00CA4AA7" w:rsidRPr="00546EB1">
        <w:rPr>
          <w:rFonts w:ascii="Times New Roman" w:eastAsia="Times New Roman" w:hAnsi="Times New Roman" w:cs="Times New Roman"/>
          <w:sz w:val="24"/>
          <w:szCs w:val="24"/>
          <w:lang w:eastAsia="ar-SA"/>
        </w:rPr>
        <w:t xml:space="preserve"> a la DPE el actualizar el folleto de Lineamientos, recomendación que a todas luces no se ha cumplido.</w:t>
      </w:r>
    </w:p>
    <w:p w14:paraId="0E5B6D38" w14:textId="77777777" w:rsidR="00937D73" w:rsidRPr="00546EB1" w:rsidRDefault="000D1B9B" w:rsidP="00937D73">
      <w:pPr>
        <w:pStyle w:val="Prrafodelista"/>
        <w:ind w:left="0"/>
        <w:jc w:val="both"/>
        <w:rPr>
          <w:rFonts w:ascii="Times New Roman" w:eastAsia="Times New Roman" w:hAnsi="Times New Roman" w:cs="Times New Roman"/>
          <w:sz w:val="24"/>
          <w:szCs w:val="24"/>
          <w:lang w:eastAsia="ar-SA"/>
        </w:rPr>
      </w:pPr>
      <w:r w:rsidRPr="00546EB1">
        <w:rPr>
          <w:rFonts w:ascii="Times New Roman" w:eastAsia="Times New Roman" w:hAnsi="Times New Roman" w:cs="Times New Roman"/>
          <w:sz w:val="24"/>
          <w:szCs w:val="24"/>
          <w:lang w:eastAsia="ar-SA"/>
        </w:rPr>
        <w:t xml:space="preserve"> </w:t>
      </w:r>
    </w:p>
    <w:p w14:paraId="6479A67A" w14:textId="77777777" w:rsidR="007512DA" w:rsidRPr="00546EB1" w:rsidRDefault="007512DA" w:rsidP="00DC235F">
      <w:pPr>
        <w:pStyle w:val="Prrafodelista"/>
        <w:spacing w:line="240" w:lineRule="auto"/>
        <w:ind w:left="0"/>
        <w:jc w:val="both"/>
        <w:rPr>
          <w:rFonts w:ascii="Times New Roman" w:eastAsia="Times New Roman" w:hAnsi="Times New Roman" w:cs="Times New Roman"/>
          <w:sz w:val="24"/>
          <w:szCs w:val="24"/>
          <w:lang w:eastAsia="ar-SA"/>
        </w:rPr>
      </w:pPr>
      <w:r w:rsidRPr="00546EB1">
        <w:rPr>
          <w:rFonts w:ascii="Times New Roman" w:eastAsia="Times New Roman" w:hAnsi="Times New Roman" w:cs="Times New Roman"/>
          <w:sz w:val="24"/>
          <w:szCs w:val="24"/>
          <w:lang w:eastAsia="ar-SA"/>
        </w:rPr>
        <w:t>Además, se evidenció que</w:t>
      </w:r>
      <w:r w:rsidR="003B3D0F">
        <w:rPr>
          <w:rFonts w:ascii="Times New Roman" w:eastAsia="Times New Roman" w:hAnsi="Times New Roman" w:cs="Times New Roman"/>
          <w:sz w:val="24"/>
          <w:szCs w:val="24"/>
          <w:lang w:eastAsia="ar-SA"/>
        </w:rPr>
        <w:t xml:space="preserve"> en</w:t>
      </w:r>
      <w:r w:rsidRPr="00546EB1">
        <w:rPr>
          <w:rFonts w:ascii="Times New Roman" w:eastAsia="Times New Roman" w:hAnsi="Times New Roman" w:cs="Times New Roman"/>
          <w:sz w:val="24"/>
          <w:szCs w:val="24"/>
          <w:lang w:eastAsia="ar-SA"/>
        </w:rPr>
        <w:t xml:space="preserve"> l</w:t>
      </w:r>
      <w:r w:rsidR="00260839" w:rsidRPr="00546EB1">
        <w:rPr>
          <w:rFonts w:ascii="Times New Roman" w:eastAsia="Times New Roman" w:hAnsi="Times New Roman" w:cs="Times New Roman"/>
          <w:sz w:val="24"/>
          <w:szCs w:val="24"/>
          <w:lang w:eastAsia="ar-SA"/>
        </w:rPr>
        <w:t xml:space="preserve">a DPE no se ha creado un procedimiento que permita normar el manejo </w:t>
      </w:r>
      <w:r w:rsidR="00937D73" w:rsidRPr="00546EB1">
        <w:rPr>
          <w:rFonts w:ascii="Times New Roman" w:eastAsia="Times New Roman" w:hAnsi="Times New Roman" w:cs="Times New Roman"/>
          <w:sz w:val="24"/>
          <w:szCs w:val="24"/>
          <w:lang w:eastAsia="ar-SA"/>
        </w:rPr>
        <w:t xml:space="preserve">de </w:t>
      </w:r>
      <w:r w:rsidR="00260839" w:rsidRPr="00546EB1">
        <w:rPr>
          <w:rFonts w:ascii="Times New Roman" w:eastAsia="Times New Roman" w:hAnsi="Times New Roman" w:cs="Times New Roman"/>
          <w:sz w:val="24"/>
          <w:szCs w:val="24"/>
          <w:lang w:eastAsia="ar-SA"/>
        </w:rPr>
        <w:t xml:space="preserve">conflictos laborales, tanto de forma interna como externa, situación que según determina esta Auditoría Interna es generalizada a nivel de las Instancias Administrativas, en virtud que se constató la existencia de varios manuales entre los que se destacan: </w:t>
      </w:r>
    </w:p>
    <w:p w14:paraId="29F48BCF" w14:textId="77777777" w:rsidR="00294C7E" w:rsidRPr="00546EB1" w:rsidRDefault="00294C7E" w:rsidP="00937D73">
      <w:pPr>
        <w:pStyle w:val="Prrafodelista"/>
        <w:ind w:left="0"/>
        <w:jc w:val="both"/>
        <w:rPr>
          <w:rFonts w:ascii="Times New Roman" w:eastAsia="Times New Roman" w:hAnsi="Times New Roman" w:cs="Times New Roman"/>
          <w:sz w:val="24"/>
          <w:szCs w:val="24"/>
          <w:lang w:eastAsia="ar-SA"/>
        </w:rPr>
      </w:pPr>
    </w:p>
    <w:p w14:paraId="25A456D9" w14:textId="77777777" w:rsidR="00EE06B4" w:rsidRPr="00546EB1" w:rsidRDefault="00260839" w:rsidP="00DC235F">
      <w:pPr>
        <w:pStyle w:val="Prrafodelista"/>
        <w:numPr>
          <w:ilvl w:val="0"/>
          <w:numId w:val="20"/>
        </w:numPr>
        <w:spacing w:line="240" w:lineRule="auto"/>
        <w:ind w:left="357" w:hanging="357"/>
        <w:jc w:val="both"/>
        <w:rPr>
          <w:rFonts w:ascii="Times New Roman" w:hAnsi="Times New Roman" w:cs="Times New Roman"/>
          <w:sz w:val="24"/>
          <w:szCs w:val="24"/>
        </w:rPr>
      </w:pPr>
      <w:r w:rsidRPr="00546EB1">
        <w:rPr>
          <w:rFonts w:ascii="Times New Roman" w:hAnsi="Times New Roman" w:cs="Times New Roman"/>
          <w:sz w:val="24"/>
          <w:szCs w:val="24"/>
        </w:rPr>
        <w:t>Manual de Atención de Conflictos en Instituciones Educativas Públicas que se enfoca en uniformar la atención, declaratoria y seguimiento de las situaciones conflictivas que se generan con funcionarios docentes, en las instituciones educativas, con el fin de garantizar la conti</w:t>
      </w:r>
      <w:r w:rsidR="009C439F" w:rsidRPr="00546EB1">
        <w:rPr>
          <w:rFonts w:ascii="Times New Roman" w:hAnsi="Times New Roman" w:cs="Times New Roman"/>
          <w:sz w:val="24"/>
          <w:szCs w:val="24"/>
        </w:rPr>
        <w:t>nuidad del servicio público.</w:t>
      </w:r>
      <w:r w:rsidRPr="00546EB1">
        <w:rPr>
          <w:rFonts w:ascii="Times New Roman" w:hAnsi="Times New Roman" w:cs="Times New Roman"/>
          <w:sz w:val="24"/>
          <w:szCs w:val="24"/>
        </w:rPr>
        <w:t xml:space="preserve"> </w:t>
      </w:r>
    </w:p>
    <w:p w14:paraId="2CA483B9" w14:textId="77777777" w:rsidR="00260839" w:rsidRPr="00546EB1" w:rsidRDefault="00260839" w:rsidP="00DC235F">
      <w:pPr>
        <w:pStyle w:val="Prrafodelista"/>
        <w:numPr>
          <w:ilvl w:val="0"/>
          <w:numId w:val="20"/>
        </w:numPr>
        <w:spacing w:line="240" w:lineRule="auto"/>
        <w:ind w:left="357" w:hanging="357"/>
        <w:jc w:val="both"/>
        <w:rPr>
          <w:rFonts w:ascii="Times New Roman" w:hAnsi="Times New Roman" w:cs="Times New Roman"/>
          <w:sz w:val="24"/>
          <w:szCs w:val="24"/>
        </w:rPr>
      </w:pPr>
      <w:r w:rsidRPr="00546EB1">
        <w:rPr>
          <w:rFonts w:ascii="Times New Roman" w:eastAsia="Times New Roman" w:hAnsi="Times New Roman" w:cs="Times New Roman"/>
          <w:sz w:val="24"/>
          <w:szCs w:val="24"/>
          <w:lang w:eastAsia="ar-SA"/>
        </w:rPr>
        <w:t xml:space="preserve">Manual de Procedimientos para Direcciones Regionales, cuya herramienta se crea con el fin de coadyuvar en el mejoramiento de la gestión de los procesos y maximizar el control interno, entre muchos más. </w:t>
      </w:r>
    </w:p>
    <w:p w14:paraId="3E5E0F39" w14:textId="77777777" w:rsidR="00484250" w:rsidRPr="00546EB1" w:rsidRDefault="00484250" w:rsidP="00484250">
      <w:pPr>
        <w:autoSpaceDE w:val="0"/>
        <w:autoSpaceDN w:val="0"/>
        <w:adjustRightInd w:val="0"/>
        <w:jc w:val="both"/>
      </w:pPr>
      <w:r w:rsidRPr="00546EB1">
        <w:t xml:space="preserve">Sin embargo, es criterio de esta Auditoría Interna que depende de la Dirección de Programas de Equidad valorar la conveniencia o no de establecer un procedimiento enfocado en esta materia, dado el análisis o incidencia que se mantenga respecto al tratamiento de este tipo de situaciones.  </w:t>
      </w:r>
    </w:p>
    <w:p w14:paraId="6754DBB3" w14:textId="77777777" w:rsidR="00DC235F" w:rsidRDefault="00DC235F" w:rsidP="004A3BEF">
      <w:pPr>
        <w:pStyle w:val="Prrafodelista"/>
        <w:tabs>
          <w:tab w:val="left" w:pos="284"/>
        </w:tabs>
        <w:autoSpaceDE w:val="0"/>
        <w:autoSpaceDN w:val="0"/>
        <w:adjustRightInd w:val="0"/>
        <w:spacing w:line="240" w:lineRule="auto"/>
        <w:ind w:left="0"/>
        <w:jc w:val="both"/>
        <w:rPr>
          <w:rFonts w:ascii="Times New Roman" w:eastAsia="Times New Roman" w:hAnsi="Times New Roman" w:cs="Times New Roman"/>
          <w:sz w:val="24"/>
          <w:szCs w:val="24"/>
          <w:lang w:eastAsia="ar-SA"/>
        </w:rPr>
      </w:pPr>
    </w:p>
    <w:p w14:paraId="09FAF130" w14:textId="3D7D5378" w:rsidR="00DC246B" w:rsidRDefault="007512DA" w:rsidP="004A3BEF">
      <w:pPr>
        <w:pStyle w:val="Prrafodelista"/>
        <w:tabs>
          <w:tab w:val="left" w:pos="284"/>
        </w:tabs>
        <w:autoSpaceDE w:val="0"/>
        <w:autoSpaceDN w:val="0"/>
        <w:adjustRightInd w:val="0"/>
        <w:spacing w:line="240" w:lineRule="auto"/>
        <w:ind w:left="0"/>
        <w:jc w:val="both"/>
        <w:rPr>
          <w:rFonts w:ascii="Times New Roman" w:eastAsia="Times New Roman" w:hAnsi="Times New Roman" w:cs="Times New Roman"/>
          <w:sz w:val="24"/>
          <w:szCs w:val="24"/>
          <w:lang w:eastAsia="ar-SA"/>
        </w:rPr>
      </w:pPr>
      <w:r w:rsidRPr="00546EB1">
        <w:rPr>
          <w:rFonts w:ascii="Times New Roman" w:eastAsia="Times New Roman" w:hAnsi="Times New Roman" w:cs="Times New Roman"/>
          <w:sz w:val="24"/>
          <w:szCs w:val="24"/>
          <w:lang w:eastAsia="ar-SA"/>
        </w:rPr>
        <w:t>Por otra parte, e</w:t>
      </w:r>
      <w:r w:rsidR="007B73F4" w:rsidRPr="00546EB1">
        <w:rPr>
          <w:rFonts w:ascii="Times New Roman" w:eastAsia="Times New Roman" w:hAnsi="Times New Roman" w:cs="Times New Roman"/>
          <w:sz w:val="24"/>
          <w:szCs w:val="24"/>
          <w:lang w:eastAsia="ar-SA"/>
        </w:rPr>
        <w:t>s de resaltar que l</w:t>
      </w:r>
      <w:r w:rsidR="00484250" w:rsidRPr="00546EB1">
        <w:rPr>
          <w:rFonts w:ascii="Times New Roman" w:eastAsia="Times New Roman" w:hAnsi="Times New Roman" w:cs="Times New Roman"/>
          <w:sz w:val="24"/>
          <w:szCs w:val="24"/>
          <w:lang w:eastAsia="ar-SA"/>
        </w:rPr>
        <w:t>a DPE tiene conformada una Sub-comisión de control interno como apoyo al titular de la Dirección de Programas de Equidad, así como las jefaturas que conforman la DPE. Dentro de las funciones de esta sub-comisión ha desarrollado: actividades como plan de capacitación, reuniones con las jefaturas, proceso de implementación del Sistema Visión 2020, monitoreo de actividades seguimiento trimestral del POA, entre otros.</w:t>
      </w:r>
    </w:p>
    <w:p w14:paraId="2290219C" w14:textId="77777777" w:rsidR="00484250" w:rsidRPr="00DF7EF8" w:rsidRDefault="000B6C30" w:rsidP="00DF7EF8">
      <w:pPr>
        <w:pStyle w:val="Ttulo3"/>
        <w:jc w:val="both"/>
        <w:rPr>
          <w:rFonts w:ascii="Times New Roman" w:hAnsi="Times New Roman" w:cs="Times New Roman"/>
          <w:color w:val="auto"/>
        </w:rPr>
      </w:pPr>
      <w:bookmarkStart w:id="17" w:name="_Toc3552505"/>
      <w:r w:rsidRPr="00DF7EF8">
        <w:rPr>
          <w:rFonts w:ascii="Times New Roman" w:hAnsi="Times New Roman" w:cs="Times New Roman"/>
          <w:color w:val="auto"/>
        </w:rPr>
        <w:lastRenderedPageBreak/>
        <w:t>2.5</w:t>
      </w:r>
      <w:r w:rsidR="007512DA" w:rsidRPr="00DF7EF8">
        <w:rPr>
          <w:rFonts w:ascii="Times New Roman" w:hAnsi="Times New Roman" w:cs="Times New Roman"/>
          <w:color w:val="auto"/>
        </w:rPr>
        <w:t xml:space="preserve">.2 </w:t>
      </w:r>
      <w:bookmarkStart w:id="18" w:name="_Hlk530233513"/>
      <w:r w:rsidR="00484250" w:rsidRPr="00DF7EF8">
        <w:rPr>
          <w:rFonts w:ascii="Times New Roman" w:hAnsi="Times New Roman" w:cs="Times New Roman"/>
          <w:color w:val="auto"/>
        </w:rPr>
        <w:t xml:space="preserve">Actividades de </w:t>
      </w:r>
      <w:r w:rsidR="004B2703" w:rsidRPr="00DF7EF8">
        <w:rPr>
          <w:rFonts w:ascii="Times New Roman" w:hAnsi="Times New Roman" w:cs="Times New Roman"/>
          <w:color w:val="auto"/>
        </w:rPr>
        <w:t>C</w:t>
      </w:r>
      <w:r w:rsidR="00484250" w:rsidRPr="00DF7EF8">
        <w:rPr>
          <w:rFonts w:ascii="Times New Roman" w:hAnsi="Times New Roman" w:cs="Times New Roman"/>
          <w:color w:val="auto"/>
        </w:rPr>
        <w:t>ontrol</w:t>
      </w:r>
      <w:r w:rsidR="00615DC8" w:rsidRPr="00DF7EF8">
        <w:rPr>
          <w:rFonts w:ascii="Times New Roman" w:hAnsi="Times New Roman" w:cs="Times New Roman"/>
          <w:color w:val="auto"/>
        </w:rPr>
        <w:t xml:space="preserve"> y </w:t>
      </w:r>
      <w:r w:rsidR="004B2703" w:rsidRPr="00DF7EF8">
        <w:rPr>
          <w:rFonts w:ascii="Times New Roman" w:hAnsi="Times New Roman" w:cs="Times New Roman"/>
          <w:color w:val="auto"/>
        </w:rPr>
        <w:t>S</w:t>
      </w:r>
      <w:r w:rsidR="00615DC8" w:rsidRPr="00DF7EF8">
        <w:rPr>
          <w:rFonts w:ascii="Times New Roman" w:hAnsi="Times New Roman" w:cs="Times New Roman"/>
          <w:color w:val="auto"/>
        </w:rPr>
        <w:t>eguimiento del S</w:t>
      </w:r>
      <w:r w:rsidR="006829E5" w:rsidRPr="00DF7EF8">
        <w:rPr>
          <w:rFonts w:ascii="Times New Roman" w:hAnsi="Times New Roman" w:cs="Times New Roman"/>
          <w:color w:val="auto"/>
        </w:rPr>
        <w:t xml:space="preserve">istema de </w:t>
      </w:r>
      <w:r w:rsidR="00615DC8" w:rsidRPr="00DF7EF8">
        <w:rPr>
          <w:rFonts w:ascii="Times New Roman" w:hAnsi="Times New Roman" w:cs="Times New Roman"/>
          <w:color w:val="auto"/>
        </w:rPr>
        <w:t>C</w:t>
      </w:r>
      <w:r w:rsidR="006829E5" w:rsidRPr="00DF7EF8">
        <w:rPr>
          <w:rFonts w:ascii="Times New Roman" w:hAnsi="Times New Roman" w:cs="Times New Roman"/>
          <w:color w:val="auto"/>
        </w:rPr>
        <w:t xml:space="preserve">ontrol </w:t>
      </w:r>
      <w:r w:rsidR="00615DC8" w:rsidRPr="00DF7EF8">
        <w:rPr>
          <w:rFonts w:ascii="Times New Roman" w:hAnsi="Times New Roman" w:cs="Times New Roman"/>
          <w:color w:val="auto"/>
        </w:rPr>
        <w:t>I</w:t>
      </w:r>
      <w:bookmarkEnd w:id="18"/>
      <w:r w:rsidR="006829E5" w:rsidRPr="00DF7EF8">
        <w:rPr>
          <w:rFonts w:ascii="Times New Roman" w:hAnsi="Times New Roman" w:cs="Times New Roman"/>
          <w:color w:val="auto"/>
        </w:rPr>
        <w:t>nterno</w:t>
      </w:r>
      <w:bookmarkEnd w:id="17"/>
    </w:p>
    <w:p w14:paraId="0E662C20" w14:textId="77777777" w:rsidR="007512DA" w:rsidRPr="00546EB1" w:rsidRDefault="007512DA" w:rsidP="00484250">
      <w:pPr>
        <w:jc w:val="both"/>
        <w:rPr>
          <w:b/>
        </w:rPr>
      </w:pPr>
    </w:p>
    <w:p w14:paraId="00B781EC" w14:textId="77777777" w:rsidR="000E57C3" w:rsidRPr="00546EB1" w:rsidRDefault="00484250" w:rsidP="00615DC8">
      <w:pPr>
        <w:autoSpaceDE w:val="0"/>
        <w:autoSpaceDN w:val="0"/>
        <w:adjustRightInd w:val="0"/>
        <w:jc w:val="both"/>
      </w:pPr>
      <w:r w:rsidRPr="00546EB1">
        <w:t xml:space="preserve">La DPE no mantiene un plan que permita dar seguimiento y evaluar el aprovechamiento de las capacitaciones que realizan. </w:t>
      </w:r>
      <w:r w:rsidR="00615DC8" w:rsidRPr="00546EB1">
        <w:t xml:space="preserve">Adicionalmente </w:t>
      </w:r>
      <w:r w:rsidRPr="00546EB1">
        <w:t xml:space="preserve">no </w:t>
      </w:r>
      <w:r w:rsidR="00615DC8" w:rsidRPr="00546EB1">
        <w:t>mantiene</w:t>
      </w:r>
      <w:r w:rsidRPr="00546EB1">
        <w:t xml:space="preserve"> diseñado ningún tipo de procedimiento que permita realizar una evaluación integral de la gestión como un todo.</w:t>
      </w:r>
    </w:p>
    <w:p w14:paraId="1AFFFA5A" w14:textId="77777777" w:rsidR="000E57C3" w:rsidRPr="00546EB1" w:rsidRDefault="000E57C3" w:rsidP="00453D12">
      <w:pPr>
        <w:jc w:val="both"/>
        <w:rPr>
          <w:rFonts w:eastAsiaTheme="minorHAnsi" w:cstheme="minorBidi"/>
          <w:lang w:eastAsia="en-US"/>
        </w:rPr>
      </w:pPr>
    </w:p>
    <w:p w14:paraId="69340A56" w14:textId="77777777" w:rsidR="00214398" w:rsidRPr="00546EB1" w:rsidRDefault="00214398" w:rsidP="00453D12">
      <w:pPr>
        <w:jc w:val="both"/>
      </w:pPr>
      <w:r w:rsidRPr="00546EB1">
        <w:t xml:space="preserve">De lo aquí apuntado contraviene lo señalado por las Normas de </w:t>
      </w:r>
      <w:r w:rsidR="007512DA" w:rsidRPr="00546EB1">
        <w:t>C</w:t>
      </w:r>
      <w:r w:rsidRPr="00546EB1">
        <w:t xml:space="preserve">ontrol </w:t>
      </w:r>
      <w:r w:rsidR="007512DA" w:rsidRPr="00546EB1">
        <w:t>I</w:t>
      </w:r>
      <w:r w:rsidRPr="00546EB1">
        <w:t>nterno para el Sector Público en el numeral 1.1 Sistema de control interno,</w:t>
      </w:r>
      <w:r w:rsidR="007512DA" w:rsidRPr="00546EB1">
        <w:t xml:space="preserve"> el cual establece que:</w:t>
      </w:r>
    </w:p>
    <w:p w14:paraId="0C7D8111" w14:textId="77777777" w:rsidR="00DC1465" w:rsidRPr="00546EB1" w:rsidRDefault="00DC1465" w:rsidP="00453D12">
      <w:pPr>
        <w:jc w:val="both"/>
        <w:rPr>
          <w:rFonts w:eastAsiaTheme="minorHAnsi" w:cstheme="minorBidi"/>
          <w:lang w:eastAsia="en-US"/>
        </w:rPr>
      </w:pPr>
    </w:p>
    <w:p w14:paraId="45CD0FB0" w14:textId="77777777" w:rsidR="00233A32" w:rsidRPr="00546EB1" w:rsidRDefault="00233A32" w:rsidP="00233A32">
      <w:pPr>
        <w:autoSpaceDE w:val="0"/>
        <w:autoSpaceDN w:val="0"/>
        <w:adjustRightInd w:val="0"/>
        <w:ind w:left="567"/>
        <w:jc w:val="both"/>
        <w:rPr>
          <w:i/>
          <w:sz w:val="22"/>
          <w:szCs w:val="22"/>
        </w:rPr>
      </w:pPr>
      <w:r w:rsidRPr="00546EB1">
        <w:rPr>
          <w:i/>
          <w:sz w:val="22"/>
          <w:szCs w:val="22"/>
        </w:rPr>
        <w:t>El jerarca y los titulares subordinados, según sus competencias, deben emprender las medidas pertinentes para contar con un SCI, conformado por una serie de acciones diseñadas y ejecutadas por la administración activa para proporcionar una seguridad razonable en la consecución de los objetivos organizacionales…</w:t>
      </w:r>
    </w:p>
    <w:p w14:paraId="66DFBAB6" w14:textId="77777777" w:rsidR="00214398" w:rsidRPr="00546EB1" w:rsidRDefault="00214398" w:rsidP="00453D12">
      <w:pPr>
        <w:jc w:val="both"/>
        <w:rPr>
          <w:rFonts w:eastAsiaTheme="minorHAnsi" w:cstheme="minorBidi"/>
          <w:lang w:eastAsia="en-US"/>
        </w:rPr>
      </w:pPr>
    </w:p>
    <w:p w14:paraId="300AC7E9" w14:textId="77777777" w:rsidR="00233A32" w:rsidRPr="00546EB1" w:rsidRDefault="00233A32" w:rsidP="00453D12">
      <w:pPr>
        <w:jc w:val="both"/>
      </w:pPr>
      <w:r w:rsidRPr="00546EB1">
        <w:t>Sobre este aspecto es importante hacer hincapié, de la importancia que la Administración requiere el incentivar las acciones que permitan fomentar el interés entre sus funcionarios de una cultura de control interno que permita evaluar y analizar la gestión que realiza la DPE como un todo.</w:t>
      </w:r>
    </w:p>
    <w:p w14:paraId="38FE5934" w14:textId="77777777" w:rsidR="00DC3B12" w:rsidRPr="00DF7EF8" w:rsidRDefault="000B6C30" w:rsidP="00DF7EF8">
      <w:pPr>
        <w:pStyle w:val="Ttulo2"/>
        <w:jc w:val="both"/>
        <w:rPr>
          <w:sz w:val="24"/>
          <w:szCs w:val="24"/>
        </w:rPr>
      </w:pPr>
      <w:bookmarkStart w:id="19" w:name="_Toc3552506"/>
      <w:r w:rsidRPr="00DF7EF8">
        <w:rPr>
          <w:sz w:val="24"/>
          <w:szCs w:val="24"/>
        </w:rPr>
        <w:t>2.6</w:t>
      </w:r>
      <w:r w:rsidR="00DC3B12" w:rsidRPr="00DF7EF8">
        <w:rPr>
          <w:sz w:val="24"/>
          <w:szCs w:val="24"/>
        </w:rPr>
        <w:t xml:space="preserve"> Otros aspectos evaluados</w:t>
      </w:r>
      <w:bookmarkEnd w:id="19"/>
    </w:p>
    <w:p w14:paraId="6DDFA9D5" w14:textId="77777777" w:rsidR="007512DA" w:rsidRPr="005C0FA7" w:rsidRDefault="00DC3B12" w:rsidP="00DC235F">
      <w:pPr>
        <w:pStyle w:val="Prrafodelista"/>
        <w:numPr>
          <w:ilvl w:val="0"/>
          <w:numId w:val="18"/>
        </w:numPr>
        <w:spacing w:line="240" w:lineRule="auto"/>
        <w:ind w:left="357" w:hanging="357"/>
        <w:jc w:val="both"/>
        <w:rPr>
          <w:rFonts w:ascii="Times New Roman" w:eastAsia="Times New Roman" w:hAnsi="Times New Roman" w:cs="Times New Roman"/>
          <w:sz w:val="24"/>
          <w:szCs w:val="24"/>
          <w:lang w:eastAsia="ar-SA"/>
        </w:rPr>
      </w:pPr>
      <w:r w:rsidRPr="005C0FA7">
        <w:rPr>
          <w:rFonts w:ascii="Times New Roman" w:eastAsia="Times New Roman" w:hAnsi="Times New Roman" w:cs="Times New Roman"/>
          <w:sz w:val="24"/>
          <w:szCs w:val="24"/>
          <w:lang w:eastAsia="ar-SA"/>
        </w:rPr>
        <w:t xml:space="preserve">Mediante oficio AI-1397-17 del 20 de setiembre de 2017, se giró una advertencia al entonces Viceministro Administrativo, </w:t>
      </w:r>
      <w:r w:rsidR="004A3BEF" w:rsidRPr="005C0FA7">
        <w:rPr>
          <w:rFonts w:ascii="Times New Roman" w:eastAsia="Times New Roman" w:hAnsi="Times New Roman" w:cs="Times New Roman"/>
          <w:sz w:val="24"/>
          <w:szCs w:val="24"/>
          <w:lang w:eastAsia="ar-SA"/>
        </w:rPr>
        <w:t>en el</w:t>
      </w:r>
      <w:r w:rsidR="007512DA" w:rsidRPr="005C0FA7">
        <w:rPr>
          <w:rFonts w:ascii="Times New Roman" w:eastAsia="Times New Roman" w:hAnsi="Times New Roman" w:cs="Times New Roman"/>
          <w:sz w:val="24"/>
          <w:szCs w:val="24"/>
          <w:lang w:eastAsia="ar-SA"/>
        </w:rPr>
        <w:t xml:space="preserve"> cual </w:t>
      </w:r>
      <w:r w:rsidRPr="005C0FA7">
        <w:rPr>
          <w:rFonts w:ascii="Times New Roman" w:eastAsia="Times New Roman" w:hAnsi="Times New Roman" w:cs="Times New Roman"/>
          <w:sz w:val="24"/>
          <w:szCs w:val="24"/>
          <w:lang w:eastAsia="ar-SA"/>
        </w:rPr>
        <w:t xml:space="preserve">se le instruye a establecer y adoptar las medidas necesarias institucionales, a fin de alinear la funcionabilidad organizativa de la DPE en el marco del Decreto 38170, o bien, proceder con el trámite de la creación de la Unidad de Control Estratégico (UCE) según lo dicta la normativa. Esto, por cuanto dicha Unidad al momento </w:t>
      </w:r>
      <w:r w:rsidR="00213B94" w:rsidRPr="005C0FA7">
        <w:rPr>
          <w:rFonts w:ascii="Times New Roman" w:eastAsia="Times New Roman" w:hAnsi="Times New Roman" w:cs="Times New Roman"/>
          <w:sz w:val="24"/>
          <w:szCs w:val="24"/>
          <w:lang w:eastAsia="ar-SA"/>
        </w:rPr>
        <w:t xml:space="preserve">de la evaluación estaba operando al margen de la Ley, ya que </w:t>
      </w:r>
      <w:r w:rsidRPr="005C0FA7">
        <w:rPr>
          <w:rFonts w:ascii="Times New Roman" w:eastAsia="Times New Roman" w:hAnsi="Times New Roman" w:cs="Times New Roman"/>
          <w:sz w:val="24"/>
          <w:szCs w:val="24"/>
          <w:lang w:eastAsia="ar-SA"/>
        </w:rPr>
        <w:t xml:space="preserve">no </w:t>
      </w:r>
      <w:r w:rsidR="00213B94" w:rsidRPr="005C0FA7">
        <w:rPr>
          <w:rFonts w:ascii="Times New Roman" w:eastAsia="Times New Roman" w:hAnsi="Times New Roman" w:cs="Times New Roman"/>
          <w:sz w:val="24"/>
          <w:szCs w:val="24"/>
          <w:lang w:eastAsia="ar-SA"/>
        </w:rPr>
        <w:t xml:space="preserve">forma parte de su estructura organizativa. </w:t>
      </w:r>
    </w:p>
    <w:p w14:paraId="0BF7FC96" w14:textId="77777777" w:rsidR="00DC235F" w:rsidRDefault="00DC235F" w:rsidP="00E31C87">
      <w:pPr>
        <w:pStyle w:val="Prrafodelista"/>
        <w:ind w:left="360"/>
        <w:jc w:val="both"/>
        <w:rPr>
          <w:rFonts w:ascii="Times New Roman" w:eastAsia="Times New Roman" w:hAnsi="Times New Roman" w:cs="Times New Roman"/>
          <w:sz w:val="24"/>
          <w:szCs w:val="24"/>
          <w:lang w:eastAsia="ar-SA"/>
        </w:rPr>
      </w:pPr>
    </w:p>
    <w:p w14:paraId="1C7E6681" w14:textId="77777777" w:rsidR="00E31C87" w:rsidRPr="005C0FA7" w:rsidRDefault="00E31C87" w:rsidP="00DC235F">
      <w:pPr>
        <w:pStyle w:val="Prrafodelista"/>
        <w:spacing w:line="240" w:lineRule="auto"/>
        <w:ind w:left="357"/>
        <w:jc w:val="both"/>
        <w:rPr>
          <w:rFonts w:ascii="Times New Roman" w:eastAsia="Times New Roman" w:hAnsi="Times New Roman" w:cs="Times New Roman"/>
          <w:sz w:val="24"/>
          <w:szCs w:val="24"/>
          <w:lang w:eastAsia="ar-SA"/>
        </w:rPr>
      </w:pPr>
      <w:r w:rsidRPr="005C0FA7">
        <w:rPr>
          <w:rFonts w:ascii="Times New Roman" w:eastAsia="Times New Roman" w:hAnsi="Times New Roman" w:cs="Times New Roman"/>
          <w:sz w:val="24"/>
          <w:szCs w:val="24"/>
          <w:lang w:eastAsia="ar-SA"/>
        </w:rPr>
        <w:t>Sobre este aspecto mediante informe DFOE-SOC-IF-00026-2018 del 21 de diciembre de 2018</w:t>
      </w:r>
      <w:r w:rsidR="00740351" w:rsidRPr="005C0FA7">
        <w:rPr>
          <w:rFonts w:ascii="Times New Roman" w:eastAsia="Times New Roman" w:hAnsi="Times New Roman" w:cs="Times New Roman"/>
          <w:sz w:val="24"/>
          <w:szCs w:val="24"/>
          <w:lang w:eastAsia="ar-SA"/>
        </w:rPr>
        <w:t xml:space="preserve"> y </w:t>
      </w:r>
      <w:r w:rsidRPr="005C0FA7">
        <w:rPr>
          <w:rFonts w:ascii="Times New Roman" w:eastAsia="Times New Roman" w:hAnsi="Times New Roman" w:cs="Times New Roman"/>
          <w:sz w:val="24"/>
          <w:szCs w:val="24"/>
          <w:lang w:eastAsia="ar-SA"/>
        </w:rPr>
        <w:t>como producto de la intervención de la Contraloría General de la República</w:t>
      </w:r>
      <w:r w:rsidR="00740351" w:rsidRPr="005C0FA7">
        <w:rPr>
          <w:rFonts w:ascii="Times New Roman" w:eastAsia="Times New Roman" w:hAnsi="Times New Roman" w:cs="Times New Roman"/>
          <w:sz w:val="24"/>
          <w:szCs w:val="24"/>
          <w:lang w:eastAsia="ar-SA"/>
        </w:rPr>
        <w:t xml:space="preserve"> a la Dirección de Programas de Equidad</w:t>
      </w:r>
      <w:r w:rsidRPr="005C0FA7">
        <w:rPr>
          <w:rFonts w:ascii="Times New Roman" w:eastAsia="Times New Roman" w:hAnsi="Times New Roman" w:cs="Times New Roman"/>
          <w:sz w:val="24"/>
          <w:szCs w:val="24"/>
          <w:lang w:eastAsia="ar-SA"/>
        </w:rPr>
        <w:t>, en el punto 1.25 del informe de marras, se indica sobre un órgano staff: “Unidad de Control Estratégico”</w:t>
      </w:r>
      <w:r w:rsidR="002F099C" w:rsidRPr="005C0FA7">
        <w:rPr>
          <w:rFonts w:ascii="Times New Roman" w:eastAsia="Times New Roman" w:hAnsi="Times New Roman" w:cs="Times New Roman"/>
          <w:sz w:val="24"/>
          <w:szCs w:val="24"/>
          <w:lang w:eastAsia="ar-SA"/>
        </w:rPr>
        <w:t xml:space="preserve"> que a la fecha no ha sido incluido en la estructura organizativa de la DPE</w:t>
      </w:r>
      <w:r w:rsidR="00740351" w:rsidRPr="005C0FA7">
        <w:rPr>
          <w:rFonts w:ascii="Times New Roman" w:eastAsia="Times New Roman" w:hAnsi="Times New Roman" w:cs="Times New Roman"/>
          <w:sz w:val="24"/>
          <w:szCs w:val="24"/>
          <w:lang w:eastAsia="ar-SA"/>
        </w:rPr>
        <w:t xml:space="preserve">. </w:t>
      </w:r>
      <w:r w:rsidR="002258BC" w:rsidRPr="005C0FA7">
        <w:rPr>
          <w:rFonts w:ascii="Times New Roman" w:eastAsia="Times New Roman" w:hAnsi="Times New Roman" w:cs="Times New Roman"/>
          <w:sz w:val="24"/>
          <w:szCs w:val="24"/>
          <w:lang w:eastAsia="ar-SA"/>
        </w:rPr>
        <w:t>No obstante,</w:t>
      </w:r>
      <w:r w:rsidR="002F099C" w:rsidRPr="005C0FA7">
        <w:rPr>
          <w:rFonts w:ascii="Times New Roman" w:eastAsia="Times New Roman" w:hAnsi="Times New Roman" w:cs="Times New Roman"/>
          <w:sz w:val="24"/>
          <w:szCs w:val="24"/>
          <w:lang w:eastAsia="ar-SA"/>
        </w:rPr>
        <w:t xml:space="preserve"> </w:t>
      </w:r>
      <w:r w:rsidRPr="005C0FA7">
        <w:rPr>
          <w:rFonts w:ascii="Times New Roman" w:eastAsia="Times New Roman" w:hAnsi="Times New Roman" w:cs="Times New Roman"/>
          <w:sz w:val="24"/>
          <w:szCs w:val="24"/>
          <w:lang w:eastAsia="ar-SA"/>
        </w:rPr>
        <w:t xml:space="preserve">no señala que </w:t>
      </w:r>
      <w:r w:rsidR="002F099C" w:rsidRPr="005C0FA7">
        <w:rPr>
          <w:rFonts w:ascii="Times New Roman" w:eastAsia="Times New Roman" w:hAnsi="Times New Roman" w:cs="Times New Roman"/>
          <w:sz w:val="24"/>
          <w:szCs w:val="24"/>
          <w:lang w:eastAsia="ar-SA"/>
        </w:rPr>
        <w:t>a pesar que está funcionando</w:t>
      </w:r>
      <w:r w:rsidR="002258BC" w:rsidRPr="005C0FA7">
        <w:rPr>
          <w:rFonts w:ascii="Times New Roman" w:eastAsia="Times New Roman" w:hAnsi="Times New Roman" w:cs="Times New Roman"/>
          <w:sz w:val="24"/>
          <w:szCs w:val="24"/>
          <w:lang w:eastAsia="ar-SA"/>
        </w:rPr>
        <w:t xml:space="preserve"> esta Unidad de Control Estratégico</w:t>
      </w:r>
      <w:r w:rsidR="002F099C" w:rsidRPr="005C0FA7">
        <w:rPr>
          <w:rFonts w:ascii="Times New Roman" w:eastAsia="Times New Roman" w:hAnsi="Times New Roman" w:cs="Times New Roman"/>
          <w:sz w:val="24"/>
          <w:szCs w:val="24"/>
          <w:lang w:eastAsia="ar-SA"/>
        </w:rPr>
        <w:t xml:space="preserve">, </w:t>
      </w:r>
      <w:r w:rsidRPr="005C0FA7">
        <w:rPr>
          <w:rFonts w:ascii="Times New Roman" w:eastAsia="Times New Roman" w:hAnsi="Times New Roman" w:cs="Times New Roman"/>
          <w:sz w:val="24"/>
          <w:szCs w:val="24"/>
          <w:lang w:eastAsia="ar-SA"/>
        </w:rPr>
        <w:t xml:space="preserve">sus </w:t>
      </w:r>
      <w:r w:rsidR="00ED0A74" w:rsidRPr="005C0FA7">
        <w:rPr>
          <w:rFonts w:ascii="Times New Roman" w:eastAsia="Times New Roman" w:hAnsi="Times New Roman" w:cs="Times New Roman"/>
          <w:sz w:val="24"/>
          <w:szCs w:val="24"/>
          <w:lang w:eastAsia="ar-SA"/>
        </w:rPr>
        <w:t>competencias</w:t>
      </w:r>
      <w:r w:rsidRPr="005C0FA7">
        <w:rPr>
          <w:rFonts w:ascii="Times New Roman" w:eastAsia="Times New Roman" w:hAnsi="Times New Roman" w:cs="Times New Roman"/>
          <w:sz w:val="24"/>
          <w:szCs w:val="24"/>
          <w:lang w:eastAsia="ar-SA"/>
        </w:rPr>
        <w:t xml:space="preserve"> no están a derecho, situación que la Dirección de Auditoría </w:t>
      </w:r>
      <w:r w:rsidR="00ED0A74" w:rsidRPr="005C0FA7">
        <w:rPr>
          <w:rFonts w:ascii="Times New Roman" w:eastAsia="Times New Roman" w:hAnsi="Times New Roman" w:cs="Times New Roman"/>
          <w:sz w:val="24"/>
          <w:szCs w:val="24"/>
          <w:lang w:eastAsia="ar-SA"/>
        </w:rPr>
        <w:t>I</w:t>
      </w:r>
      <w:r w:rsidRPr="005C0FA7">
        <w:rPr>
          <w:rFonts w:ascii="Times New Roman" w:eastAsia="Times New Roman" w:hAnsi="Times New Roman" w:cs="Times New Roman"/>
          <w:sz w:val="24"/>
          <w:szCs w:val="24"/>
          <w:lang w:eastAsia="ar-SA"/>
        </w:rPr>
        <w:t xml:space="preserve">nterna en su oportunidad lo hizo ver ante </w:t>
      </w:r>
      <w:r w:rsidR="003B3D0F" w:rsidRPr="005C0FA7">
        <w:rPr>
          <w:rFonts w:ascii="Times New Roman" w:eastAsia="Times New Roman" w:hAnsi="Times New Roman" w:cs="Times New Roman"/>
          <w:sz w:val="24"/>
          <w:szCs w:val="24"/>
          <w:lang w:eastAsia="ar-SA"/>
        </w:rPr>
        <w:t xml:space="preserve">la </w:t>
      </w:r>
      <w:r w:rsidR="00BF0674" w:rsidRPr="005C0FA7">
        <w:rPr>
          <w:rFonts w:ascii="Times New Roman" w:eastAsia="Times New Roman" w:hAnsi="Times New Roman" w:cs="Times New Roman"/>
          <w:sz w:val="24"/>
          <w:szCs w:val="24"/>
          <w:lang w:eastAsia="ar-SA"/>
        </w:rPr>
        <w:t>Administración</w:t>
      </w:r>
      <w:r w:rsidRPr="005C0FA7">
        <w:rPr>
          <w:rFonts w:ascii="Times New Roman" w:eastAsia="Times New Roman" w:hAnsi="Times New Roman" w:cs="Times New Roman"/>
          <w:sz w:val="24"/>
          <w:szCs w:val="24"/>
          <w:lang w:eastAsia="ar-SA"/>
        </w:rPr>
        <w:t xml:space="preserve">.   </w:t>
      </w:r>
    </w:p>
    <w:p w14:paraId="382F2BD8" w14:textId="77777777" w:rsidR="0023110F" w:rsidRPr="005C0FA7" w:rsidRDefault="0023110F" w:rsidP="0023110F">
      <w:pPr>
        <w:pStyle w:val="Prrafodelista"/>
        <w:ind w:left="360"/>
        <w:jc w:val="both"/>
        <w:rPr>
          <w:rFonts w:ascii="Times New Roman" w:eastAsia="Times New Roman" w:hAnsi="Times New Roman" w:cs="Times New Roman"/>
          <w:sz w:val="24"/>
          <w:szCs w:val="24"/>
          <w:lang w:eastAsia="ar-SA"/>
        </w:rPr>
      </w:pPr>
    </w:p>
    <w:p w14:paraId="5033F728" w14:textId="7EDD83AE" w:rsidR="00DF7EF8" w:rsidRPr="00DC235F" w:rsidRDefault="00FF5678" w:rsidP="00EE5DC2">
      <w:pPr>
        <w:pStyle w:val="Prrafodelista"/>
        <w:numPr>
          <w:ilvl w:val="0"/>
          <w:numId w:val="18"/>
        </w:numPr>
        <w:spacing w:line="240" w:lineRule="auto"/>
        <w:ind w:left="357" w:hanging="357"/>
        <w:jc w:val="both"/>
        <w:rPr>
          <w:rFonts w:ascii="Times New Roman" w:hAnsi="Times New Roman" w:cs="Times New Roman"/>
          <w:bCs/>
          <w:color w:val="000000"/>
        </w:rPr>
      </w:pPr>
      <w:r w:rsidRPr="00546EB1">
        <w:rPr>
          <w:rFonts w:ascii="Times New Roman" w:eastAsia="Times New Roman" w:hAnsi="Times New Roman" w:cs="Times New Roman"/>
          <w:sz w:val="24"/>
          <w:szCs w:val="24"/>
          <w:lang w:eastAsia="ar-SA"/>
        </w:rPr>
        <w:t xml:space="preserve">Mediante oficio AI-1473-17 del 26 de setiembre de 2017, se giró una advertencia a la Directora de Recursos Humanos, </w:t>
      </w:r>
      <w:r w:rsidR="00A6131D">
        <w:rPr>
          <w:rFonts w:ascii="Times New Roman" w:eastAsia="Times New Roman" w:hAnsi="Times New Roman" w:cs="Times New Roman"/>
          <w:sz w:val="24"/>
          <w:szCs w:val="24"/>
          <w:lang w:eastAsia="ar-SA"/>
        </w:rPr>
        <w:t>en el cual se le</w:t>
      </w:r>
      <w:r w:rsidR="003B3D0F">
        <w:rPr>
          <w:rFonts w:ascii="Times New Roman" w:eastAsia="Times New Roman" w:hAnsi="Times New Roman" w:cs="Times New Roman"/>
          <w:sz w:val="24"/>
          <w:szCs w:val="24"/>
          <w:lang w:eastAsia="ar-SA"/>
        </w:rPr>
        <w:t xml:space="preserve"> indica</w:t>
      </w:r>
      <w:r w:rsidRPr="00546EB1">
        <w:rPr>
          <w:rFonts w:ascii="Times New Roman" w:eastAsia="Times New Roman" w:hAnsi="Times New Roman" w:cs="Times New Roman"/>
          <w:sz w:val="24"/>
          <w:szCs w:val="24"/>
          <w:lang w:eastAsia="ar-SA"/>
        </w:rPr>
        <w:t xml:space="preserve">: </w:t>
      </w:r>
    </w:p>
    <w:p w14:paraId="68CF8D7E" w14:textId="77777777" w:rsidR="00FF5678" w:rsidRPr="00546EB1" w:rsidRDefault="00FF5678" w:rsidP="000B6C30">
      <w:pPr>
        <w:autoSpaceDE w:val="0"/>
        <w:autoSpaceDN w:val="0"/>
        <w:adjustRightInd w:val="0"/>
        <w:ind w:left="567"/>
        <w:jc w:val="both"/>
        <w:rPr>
          <w:i/>
          <w:color w:val="000000"/>
          <w:sz w:val="22"/>
          <w:szCs w:val="22"/>
        </w:rPr>
      </w:pPr>
      <w:r w:rsidRPr="00546EB1">
        <w:rPr>
          <w:i/>
          <w:color w:val="000000"/>
          <w:sz w:val="22"/>
          <w:szCs w:val="22"/>
        </w:rPr>
        <w:t xml:space="preserve">…advierte sobre la situación descrita y le instruye a establecer y adoptar las medidas necesarias a fin de corregir lo aquí comentado, tomando en consideración dos aspectos: </w:t>
      </w:r>
    </w:p>
    <w:p w14:paraId="7D73FFA0" w14:textId="77777777" w:rsidR="00FF5678" w:rsidRPr="00546EB1" w:rsidRDefault="00FF5678" w:rsidP="00FF5678">
      <w:pPr>
        <w:autoSpaceDE w:val="0"/>
        <w:autoSpaceDN w:val="0"/>
        <w:adjustRightInd w:val="0"/>
        <w:ind w:left="567"/>
        <w:jc w:val="both"/>
        <w:rPr>
          <w:i/>
          <w:color w:val="000000"/>
          <w:sz w:val="22"/>
          <w:szCs w:val="22"/>
        </w:rPr>
      </w:pPr>
      <w:r w:rsidRPr="00546EB1">
        <w:rPr>
          <w:b/>
          <w:bCs/>
          <w:i/>
          <w:color w:val="000000"/>
          <w:sz w:val="22"/>
          <w:szCs w:val="22"/>
        </w:rPr>
        <w:t xml:space="preserve">1. </w:t>
      </w:r>
      <w:r w:rsidRPr="00546EB1">
        <w:rPr>
          <w:i/>
          <w:color w:val="000000"/>
          <w:sz w:val="22"/>
          <w:szCs w:val="22"/>
        </w:rPr>
        <w:t xml:space="preserve">Efectuar un estudio técnico ocupacional que permita valorar el perfil del puesto 400363, en concordancia con a las funciones que se desarrollan en el Departamento de Supervisión y Control de la Dirección de Programas de Equidad, de manera tal que se garantice la continuidad e idoneidad del servicio que se brinda a través de este. </w:t>
      </w:r>
    </w:p>
    <w:p w14:paraId="662289B2" w14:textId="77777777" w:rsidR="00163E69" w:rsidRDefault="00FF5678" w:rsidP="000B6C30">
      <w:pPr>
        <w:ind w:left="567"/>
        <w:jc w:val="both"/>
        <w:rPr>
          <w:i/>
          <w:color w:val="000000"/>
          <w:sz w:val="22"/>
          <w:szCs w:val="22"/>
        </w:rPr>
      </w:pPr>
      <w:r w:rsidRPr="00546EB1">
        <w:rPr>
          <w:b/>
          <w:bCs/>
          <w:i/>
          <w:color w:val="000000"/>
          <w:sz w:val="22"/>
          <w:szCs w:val="22"/>
        </w:rPr>
        <w:lastRenderedPageBreak/>
        <w:t xml:space="preserve">2. </w:t>
      </w:r>
      <w:r w:rsidRPr="00546EB1">
        <w:rPr>
          <w:i/>
          <w:color w:val="000000"/>
          <w:sz w:val="22"/>
          <w:szCs w:val="22"/>
        </w:rPr>
        <w:t xml:space="preserve">Considerar y valorar las implicaciones legales que podría generar el proceso de concurso interno al que </w:t>
      </w:r>
      <w:r w:rsidR="000B6C30" w:rsidRPr="00546EB1">
        <w:rPr>
          <w:i/>
          <w:color w:val="000000"/>
          <w:sz w:val="22"/>
          <w:szCs w:val="22"/>
        </w:rPr>
        <w:t>está sometido el puesto 400363.</w:t>
      </w:r>
    </w:p>
    <w:p w14:paraId="1CA84162" w14:textId="77777777" w:rsidR="004930F0" w:rsidRDefault="004930F0" w:rsidP="000B6C30">
      <w:pPr>
        <w:ind w:left="567"/>
        <w:jc w:val="both"/>
        <w:rPr>
          <w:bCs/>
          <w:color w:val="000000"/>
        </w:rPr>
      </w:pPr>
    </w:p>
    <w:p w14:paraId="3C652A15" w14:textId="6D7E48B0" w:rsidR="004930F0" w:rsidRPr="00546EB1" w:rsidRDefault="004930F0" w:rsidP="000B6C30">
      <w:pPr>
        <w:ind w:left="567"/>
        <w:jc w:val="both"/>
        <w:rPr>
          <w:bCs/>
          <w:color w:val="000000"/>
        </w:rPr>
      </w:pPr>
      <w:r>
        <w:rPr>
          <w:bCs/>
          <w:color w:val="000000"/>
        </w:rPr>
        <w:t>Sobre esta situación, la Direcci</w:t>
      </w:r>
      <w:r w:rsidR="00E148E9">
        <w:rPr>
          <w:bCs/>
          <w:color w:val="000000"/>
        </w:rPr>
        <w:t>ó</w:t>
      </w:r>
      <w:r>
        <w:rPr>
          <w:bCs/>
          <w:color w:val="000000"/>
        </w:rPr>
        <w:t xml:space="preserve">n de Auditoría Interna se encuentra </w:t>
      </w:r>
      <w:r w:rsidR="00E148E9">
        <w:rPr>
          <w:bCs/>
          <w:color w:val="000000"/>
        </w:rPr>
        <w:t xml:space="preserve">analizando las actuaciones realizadas por </w:t>
      </w:r>
      <w:r>
        <w:rPr>
          <w:bCs/>
          <w:color w:val="000000"/>
        </w:rPr>
        <w:t>Administración.</w:t>
      </w:r>
    </w:p>
    <w:p w14:paraId="56095325" w14:textId="77777777" w:rsidR="000B6C30" w:rsidRPr="00546EB1" w:rsidRDefault="000B6C30" w:rsidP="000B6C30">
      <w:pPr>
        <w:ind w:left="567"/>
        <w:jc w:val="both"/>
        <w:rPr>
          <w:bCs/>
          <w:color w:val="000000"/>
        </w:rPr>
      </w:pPr>
    </w:p>
    <w:p w14:paraId="3EC79858" w14:textId="77777777" w:rsidR="00172874" w:rsidRPr="00E73B8F" w:rsidRDefault="00AD2598" w:rsidP="00EE5DC2">
      <w:pPr>
        <w:pStyle w:val="Prrafodelista"/>
        <w:numPr>
          <w:ilvl w:val="0"/>
          <w:numId w:val="19"/>
        </w:numPr>
        <w:autoSpaceDE w:val="0"/>
        <w:autoSpaceDN w:val="0"/>
        <w:adjustRightInd w:val="0"/>
        <w:spacing w:line="240" w:lineRule="auto"/>
        <w:ind w:left="357" w:hanging="357"/>
        <w:jc w:val="both"/>
        <w:rPr>
          <w:rFonts w:ascii="Times New Roman" w:hAnsi="Times New Roman" w:cs="Times New Roman"/>
          <w:i/>
          <w:sz w:val="24"/>
          <w:szCs w:val="24"/>
        </w:rPr>
      </w:pPr>
      <w:r w:rsidRPr="00E73B8F">
        <w:rPr>
          <w:rFonts w:ascii="Times New Roman" w:hAnsi="Times New Roman" w:cs="Times New Roman"/>
          <w:sz w:val="24"/>
          <w:szCs w:val="24"/>
        </w:rPr>
        <w:t xml:space="preserve">Se dio </w:t>
      </w:r>
      <w:r w:rsidR="008274A1" w:rsidRPr="00E73B8F">
        <w:rPr>
          <w:rFonts w:ascii="Times New Roman" w:hAnsi="Times New Roman" w:cs="Times New Roman"/>
          <w:sz w:val="24"/>
          <w:szCs w:val="24"/>
        </w:rPr>
        <w:t>seguimiento al oficio AI-1473-14 del 26 de noviembre de 2014 en donde se corroboró entre otros aspectos</w:t>
      </w:r>
      <w:r w:rsidR="00A73449" w:rsidRPr="00E73B8F">
        <w:rPr>
          <w:rFonts w:ascii="Times New Roman" w:hAnsi="Times New Roman" w:cs="Times New Roman"/>
          <w:sz w:val="24"/>
          <w:szCs w:val="24"/>
        </w:rPr>
        <w:t>,</w:t>
      </w:r>
      <w:r w:rsidR="008274A1" w:rsidRPr="00E73B8F">
        <w:rPr>
          <w:rFonts w:ascii="Times New Roman" w:hAnsi="Times New Roman" w:cs="Times New Roman"/>
          <w:sz w:val="24"/>
          <w:szCs w:val="24"/>
        </w:rPr>
        <w:t xml:space="preserve"> que la circular</w:t>
      </w:r>
      <w:r w:rsidR="00A73449" w:rsidRPr="00E73B8F">
        <w:rPr>
          <w:rFonts w:ascii="Times New Roman" w:hAnsi="Times New Roman" w:cs="Times New Roman"/>
          <w:sz w:val="24"/>
          <w:szCs w:val="24"/>
        </w:rPr>
        <w:t xml:space="preserve"> DPE-</w:t>
      </w:r>
      <w:r w:rsidR="00334211" w:rsidRPr="00E73B8F">
        <w:rPr>
          <w:rFonts w:ascii="Times New Roman" w:hAnsi="Times New Roman" w:cs="Times New Roman"/>
          <w:sz w:val="24"/>
          <w:szCs w:val="24"/>
        </w:rPr>
        <w:t>736-</w:t>
      </w:r>
      <w:r w:rsidR="00A73449" w:rsidRPr="00E73B8F">
        <w:rPr>
          <w:rFonts w:ascii="Times New Roman" w:hAnsi="Times New Roman" w:cs="Times New Roman"/>
          <w:sz w:val="24"/>
          <w:szCs w:val="24"/>
        </w:rPr>
        <w:t xml:space="preserve">2014 del 29 de setiembre de 2014 </w:t>
      </w:r>
      <w:r w:rsidR="00A73449" w:rsidRPr="00E73B8F">
        <w:rPr>
          <w:rFonts w:ascii="Times New Roman" w:hAnsi="Times New Roman" w:cs="Times New Roman"/>
          <w:i/>
          <w:sz w:val="24"/>
          <w:szCs w:val="24"/>
        </w:rPr>
        <w:t>“Traslado a las Direcciones Regionales de Educación el Proceso para la revisión y aprobación de la ejecución presupuestaria de la fuente de financiamiento…”</w:t>
      </w:r>
      <w:r w:rsidR="00A73449" w:rsidRPr="00E73B8F">
        <w:rPr>
          <w:rFonts w:ascii="Times New Roman" w:hAnsi="Times New Roman" w:cs="Times New Roman"/>
          <w:sz w:val="24"/>
          <w:szCs w:val="24"/>
        </w:rPr>
        <w:t xml:space="preserve"> fue derogada mediante el oficio </w:t>
      </w:r>
      <w:r w:rsidR="00334211" w:rsidRPr="00E73B8F">
        <w:rPr>
          <w:rFonts w:ascii="Times New Roman" w:hAnsi="Times New Roman" w:cs="Times New Roman"/>
          <w:sz w:val="24"/>
          <w:szCs w:val="24"/>
        </w:rPr>
        <w:t>DPE-482-16 del 28 de julio de 2016, “</w:t>
      </w:r>
      <w:r w:rsidR="00334211" w:rsidRPr="00E73B8F">
        <w:rPr>
          <w:rFonts w:ascii="Times New Roman" w:hAnsi="Times New Roman" w:cs="Times New Roman"/>
          <w:i/>
          <w:sz w:val="24"/>
          <w:szCs w:val="24"/>
        </w:rPr>
        <w:t>Emisión del lineamiento para la revisión y análisis de la ejecución presupuestaria de los Programas de Equidad, administrados por las Juntas de Educación y Juntas Administrativas…”</w:t>
      </w:r>
    </w:p>
    <w:p w14:paraId="0A2C4303" w14:textId="77777777" w:rsidR="006A7F0D" w:rsidRPr="005C0FA7" w:rsidRDefault="00E73B8F" w:rsidP="00042510">
      <w:pPr>
        <w:suppressAutoHyphens w:val="0"/>
        <w:autoSpaceDE w:val="0"/>
        <w:autoSpaceDN w:val="0"/>
        <w:adjustRightInd w:val="0"/>
        <w:ind w:left="426"/>
        <w:jc w:val="both"/>
      </w:pPr>
      <w:r w:rsidRPr="005C0FA7">
        <w:rPr>
          <w:rFonts w:eastAsiaTheme="minorHAnsi"/>
          <w:lang w:eastAsia="en-US"/>
        </w:rPr>
        <w:t>En relación a este aspecto, m</w:t>
      </w:r>
      <w:r w:rsidR="006A7F0D" w:rsidRPr="005C0FA7">
        <w:rPr>
          <w:rFonts w:eastAsiaTheme="minorHAnsi"/>
          <w:lang w:eastAsia="en-US"/>
        </w:rPr>
        <w:t xml:space="preserve">ediante </w:t>
      </w:r>
      <w:r w:rsidR="00296CB9" w:rsidRPr="005C0FA7">
        <w:rPr>
          <w:rFonts w:eastAsiaTheme="minorHAnsi"/>
          <w:lang w:eastAsia="en-US"/>
        </w:rPr>
        <w:t xml:space="preserve">el </w:t>
      </w:r>
      <w:r w:rsidR="006A7F0D" w:rsidRPr="005C0FA7">
        <w:rPr>
          <w:rFonts w:eastAsiaTheme="minorHAnsi"/>
          <w:lang w:eastAsia="en-US"/>
        </w:rPr>
        <w:t xml:space="preserve">informe DFOE-SOC-IF-00026-2018 del 21 de diciembre de 2018 </w:t>
      </w:r>
      <w:r w:rsidR="00042510" w:rsidRPr="005C0FA7">
        <w:rPr>
          <w:rFonts w:eastAsiaTheme="minorHAnsi"/>
          <w:lang w:eastAsia="en-US"/>
        </w:rPr>
        <w:t>emitido por</w:t>
      </w:r>
      <w:r w:rsidR="006A7F0D" w:rsidRPr="005C0FA7">
        <w:rPr>
          <w:rFonts w:eastAsiaTheme="minorHAnsi"/>
          <w:lang w:eastAsia="en-US"/>
        </w:rPr>
        <w:t xml:space="preserve"> </w:t>
      </w:r>
      <w:r w:rsidR="00042510" w:rsidRPr="005C0FA7">
        <w:rPr>
          <w:rFonts w:eastAsiaTheme="minorHAnsi"/>
          <w:lang w:eastAsia="en-US"/>
        </w:rPr>
        <w:t xml:space="preserve">el </w:t>
      </w:r>
      <w:r w:rsidR="006A7F0D" w:rsidRPr="005C0FA7">
        <w:rPr>
          <w:rFonts w:eastAsiaTheme="minorHAnsi"/>
          <w:lang w:eastAsia="en-US"/>
        </w:rPr>
        <w:t>ente Contralor</w:t>
      </w:r>
      <w:r w:rsidR="00ED0A74" w:rsidRPr="005C0FA7">
        <w:rPr>
          <w:rFonts w:eastAsiaTheme="minorHAnsi"/>
          <w:lang w:eastAsia="en-US"/>
        </w:rPr>
        <w:t>, en l</w:t>
      </w:r>
      <w:r w:rsidR="00042510" w:rsidRPr="005C0FA7">
        <w:rPr>
          <w:rFonts w:eastAsiaTheme="minorHAnsi"/>
          <w:lang w:eastAsia="en-US"/>
        </w:rPr>
        <w:t>os</w:t>
      </w:r>
      <w:r w:rsidR="00ED0A74" w:rsidRPr="005C0FA7">
        <w:rPr>
          <w:rFonts w:eastAsiaTheme="minorHAnsi"/>
          <w:lang w:eastAsia="en-US"/>
        </w:rPr>
        <w:t xml:space="preserve"> punto</w:t>
      </w:r>
      <w:r w:rsidR="00042510" w:rsidRPr="005C0FA7">
        <w:rPr>
          <w:rFonts w:eastAsiaTheme="minorHAnsi"/>
          <w:lang w:eastAsia="en-US"/>
        </w:rPr>
        <w:t>s</w:t>
      </w:r>
      <w:r w:rsidR="00ED0A74" w:rsidRPr="005C0FA7">
        <w:rPr>
          <w:rFonts w:eastAsiaTheme="minorHAnsi"/>
          <w:lang w:eastAsia="en-US"/>
        </w:rPr>
        <w:t xml:space="preserve"> 2.14</w:t>
      </w:r>
      <w:r w:rsidR="00042510" w:rsidRPr="005C0FA7">
        <w:rPr>
          <w:rFonts w:eastAsiaTheme="minorHAnsi"/>
          <w:lang w:eastAsia="en-US"/>
        </w:rPr>
        <w:t xml:space="preserve"> y 2.19</w:t>
      </w:r>
      <w:r w:rsidR="00ED0A74" w:rsidRPr="005C0FA7">
        <w:rPr>
          <w:rFonts w:eastAsiaTheme="minorHAnsi"/>
          <w:lang w:eastAsia="en-US"/>
        </w:rPr>
        <w:t xml:space="preserve">, </w:t>
      </w:r>
      <w:r w:rsidR="006A7F0D" w:rsidRPr="005C0FA7">
        <w:rPr>
          <w:rFonts w:eastAsiaTheme="minorHAnsi"/>
          <w:lang w:eastAsia="en-US"/>
        </w:rPr>
        <w:t>señala</w:t>
      </w:r>
      <w:r w:rsidR="00042510" w:rsidRPr="005C0FA7">
        <w:rPr>
          <w:rFonts w:eastAsiaTheme="minorHAnsi"/>
          <w:lang w:eastAsia="en-US"/>
        </w:rPr>
        <w:t>n respectivamente</w:t>
      </w:r>
      <w:r w:rsidR="006A7F0D" w:rsidRPr="005C0FA7">
        <w:rPr>
          <w:rFonts w:eastAsiaTheme="minorHAnsi"/>
          <w:lang w:eastAsia="en-US"/>
        </w:rPr>
        <w:t xml:space="preserve">: </w:t>
      </w:r>
      <w:r w:rsidR="006A7F0D" w:rsidRPr="005C0FA7">
        <w:rPr>
          <w:rFonts w:eastAsiaTheme="minorHAnsi"/>
          <w:i/>
          <w:lang w:eastAsia="en-US"/>
        </w:rPr>
        <w:t>“…</w:t>
      </w:r>
      <w:r w:rsidR="00ED0A74" w:rsidRPr="005C0FA7">
        <w:rPr>
          <w:rFonts w:eastAsiaTheme="minorHAnsi"/>
          <w:i/>
          <w:lang w:val="es-CR" w:eastAsia="en-US"/>
        </w:rPr>
        <w:t>la DPE depende de las DRE, Circuitos Educativos y Centros Educativos para la recolección y procesamiento de la información relacionada con la ejecución de los programas de equidad</w:t>
      </w:r>
      <w:r w:rsidR="006A7F0D" w:rsidRPr="005C0FA7">
        <w:t xml:space="preserve">” </w:t>
      </w:r>
    </w:p>
    <w:p w14:paraId="5F1371CD" w14:textId="77777777" w:rsidR="00296CB9" w:rsidRPr="005C0FA7" w:rsidRDefault="00296CB9" w:rsidP="00042510">
      <w:pPr>
        <w:suppressAutoHyphens w:val="0"/>
        <w:autoSpaceDE w:val="0"/>
        <w:autoSpaceDN w:val="0"/>
        <w:adjustRightInd w:val="0"/>
        <w:ind w:left="426"/>
        <w:jc w:val="both"/>
      </w:pPr>
    </w:p>
    <w:p w14:paraId="0801A9A8" w14:textId="50E46442" w:rsidR="006A7F0D" w:rsidRPr="005C0FA7" w:rsidRDefault="002F099C" w:rsidP="003E4E87">
      <w:pPr>
        <w:suppressAutoHyphens w:val="0"/>
        <w:autoSpaceDE w:val="0"/>
        <w:autoSpaceDN w:val="0"/>
        <w:adjustRightInd w:val="0"/>
        <w:ind w:left="426"/>
        <w:jc w:val="both"/>
      </w:pPr>
      <w:r w:rsidRPr="005C0FA7">
        <w:t>Además indica: “…</w:t>
      </w:r>
      <w:r w:rsidR="00042510" w:rsidRPr="005C0FA7">
        <w:rPr>
          <w:rFonts w:eastAsiaTheme="minorHAnsi"/>
          <w:i/>
          <w:lang w:val="es-CR" w:eastAsia="en-US"/>
        </w:rPr>
        <w:t>el traslado de la función de recepción, revisión y análisis de los informes contables de las Juntas a las DRE, limita ala DPE mantener de manera oportuna el control de la ejecución presupuestaria de los programas de equidad, además de que incrementa los costos por los reprocesos que debe realizar esa Dirección en la obtención de datos certeros.</w:t>
      </w:r>
      <w:r w:rsidRPr="005C0FA7">
        <w:rPr>
          <w:i/>
        </w:rPr>
        <w:t>”.</w:t>
      </w:r>
      <w:r w:rsidR="00042510" w:rsidRPr="005C0FA7">
        <w:rPr>
          <w:i/>
        </w:rPr>
        <w:t xml:space="preserve"> </w:t>
      </w:r>
      <w:r w:rsidR="00042510" w:rsidRPr="005C0FA7">
        <w:t>SIC</w:t>
      </w:r>
    </w:p>
    <w:p w14:paraId="42D63FE3" w14:textId="77777777" w:rsidR="003E4E87" w:rsidRPr="005C0FA7" w:rsidRDefault="003E4E87" w:rsidP="003E4E87">
      <w:pPr>
        <w:suppressAutoHyphens w:val="0"/>
        <w:autoSpaceDE w:val="0"/>
        <w:autoSpaceDN w:val="0"/>
        <w:adjustRightInd w:val="0"/>
        <w:ind w:left="426"/>
        <w:jc w:val="both"/>
        <w:rPr>
          <w:i/>
        </w:rPr>
      </w:pPr>
    </w:p>
    <w:p w14:paraId="305DC799" w14:textId="77777777" w:rsidR="00E73B8F" w:rsidRPr="005C0FA7" w:rsidRDefault="00D55D71" w:rsidP="003E4E87">
      <w:pPr>
        <w:suppressAutoHyphens w:val="0"/>
        <w:autoSpaceDE w:val="0"/>
        <w:autoSpaceDN w:val="0"/>
        <w:adjustRightInd w:val="0"/>
        <w:ind w:left="426"/>
        <w:jc w:val="both"/>
      </w:pPr>
      <w:r w:rsidRPr="005C0FA7">
        <w:t xml:space="preserve">Lo señalado por el ente Contralor </w:t>
      </w:r>
      <w:r w:rsidR="00B30108" w:rsidRPr="005C0FA7">
        <w:t xml:space="preserve">se encuentra tipificado </w:t>
      </w:r>
      <w:r w:rsidR="00E73B8F" w:rsidRPr="005C0FA7">
        <w:t xml:space="preserve">precisamente </w:t>
      </w:r>
      <w:r w:rsidR="00B30108" w:rsidRPr="005C0FA7">
        <w:t xml:space="preserve">en </w:t>
      </w:r>
      <w:r w:rsidR="00CD1FE6" w:rsidRPr="005C0FA7">
        <w:t>e</w:t>
      </w:r>
      <w:r w:rsidR="00B30108" w:rsidRPr="005C0FA7">
        <w:t>l</w:t>
      </w:r>
      <w:r w:rsidR="00CD1FE6" w:rsidRPr="005C0FA7">
        <w:t xml:space="preserve"> oficio </w:t>
      </w:r>
      <w:r w:rsidR="00B30108" w:rsidRPr="005C0FA7">
        <w:t>AI-1473-14 del 26 de noviembre de 2014</w:t>
      </w:r>
      <w:r w:rsidR="00E73B8F" w:rsidRPr="005C0FA7">
        <w:t xml:space="preserve">, como bien se indicó líneas arriba </w:t>
      </w:r>
      <w:r w:rsidR="00CD1FE6" w:rsidRPr="005C0FA7">
        <w:t>como una advertencia</w:t>
      </w:r>
      <w:r w:rsidR="000814CC" w:rsidRPr="005C0FA7">
        <w:t xml:space="preserve"> a la Administración</w:t>
      </w:r>
      <w:r w:rsidR="00B30108" w:rsidRPr="005C0FA7">
        <w:t xml:space="preserve">, por lo que es la DPE sobre este caso en particular, la que debe valorar por el cumplimiento de lo establecido en cuanto a la fiscalización </w:t>
      </w:r>
      <w:r w:rsidR="00CD1FE6" w:rsidRPr="005C0FA7">
        <w:t xml:space="preserve">y supervisión </w:t>
      </w:r>
      <w:r w:rsidR="00B30108" w:rsidRPr="005C0FA7">
        <w:t xml:space="preserve">de los recursos, el cual es resorte de sus competencias. </w:t>
      </w:r>
    </w:p>
    <w:p w14:paraId="18BF1426" w14:textId="77777777" w:rsidR="00E73B8F" w:rsidRPr="005C0FA7" w:rsidRDefault="00E73B8F" w:rsidP="003E4E87">
      <w:pPr>
        <w:suppressAutoHyphens w:val="0"/>
        <w:autoSpaceDE w:val="0"/>
        <w:autoSpaceDN w:val="0"/>
        <w:adjustRightInd w:val="0"/>
        <w:ind w:left="426"/>
        <w:jc w:val="both"/>
      </w:pPr>
    </w:p>
    <w:p w14:paraId="7574A7EE" w14:textId="77777777" w:rsidR="003E4E87" w:rsidRPr="005C0FA7" w:rsidRDefault="00E73B8F" w:rsidP="003E4E87">
      <w:pPr>
        <w:suppressAutoHyphens w:val="0"/>
        <w:autoSpaceDE w:val="0"/>
        <w:autoSpaceDN w:val="0"/>
        <w:adjustRightInd w:val="0"/>
        <w:ind w:left="426"/>
        <w:jc w:val="both"/>
      </w:pPr>
      <w:r w:rsidRPr="005C0FA7">
        <w:t xml:space="preserve">Además hacer hincapié, que la CGRP a través del informe </w:t>
      </w:r>
      <w:r w:rsidRPr="005C0FA7">
        <w:rPr>
          <w:rFonts w:eastAsiaTheme="minorHAnsi"/>
          <w:lang w:eastAsia="en-US"/>
        </w:rPr>
        <w:t>DFOE-SOC-IF-00026-2018 del 21 de diciembre de 2018, emitió la recomendación 4.8 al Director de Programas de Equidad para lo que corresponda</w:t>
      </w:r>
      <w:r w:rsidR="003B3D0F" w:rsidRPr="005C0FA7">
        <w:rPr>
          <w:rFonts w:eastAsiaTheme="minorHAnsi"/>
          <w:lang w:eastAsia="en-US"/>
        </w:rPr>
        <w:t xml:space="preserve"> sobre este tema en particular</w:t>
      </w:r>
      <w:r w:rsidRPr="005C0FA7">
        <w:rPr>
          <w:rFonts w:eastAsiaTheme="minorHAnsi"/>
          <w:lang w:eastAsia="en-US"/>
        </w:rPr>
        <w:t>.</w:t>
      </w:r>
      <w:r w:rsidRPr="005C0FA7">
        <w:rPr>
          <w:rFonts w:eastAsiaTheme="minorHAnsi"/>
          <w:highlight w:val="yellow"/>
          <w:lang w:eastAsia="en-US"/>
        </w:rPr>
        <w:t xml:space="preserve"> </w:t>
      </w:r>
    </w:p>
    <w:p w14:paraId="175B4329" w14:textId="77777777" w:rsidR="006A7F0D" w:rsidRPr="005C0FA7" w:rsidRDefault="006A7F0D" w:rsidP="006A7F0D">
      <w:pPr>
        <w:autoSpaceDE w:val="0"/>
        <w:autoSpaceDN w:val="0"/>
        <w:adjustRightInd w:val="0"/>
        <w:jc w:val="both"/>
      </w:pPr>
    </w:p>
    <w:p w14:paraId="232C2C60" w14:textId="77777777" w:rsidR="009D6DAA" w:rsidRPr="00546EB1" w:rsidRDefault="00172874" w:rsidP="009D6DAA">
      <w:pPr>
        <w:pStyle w:val="Default"/>
        <w:numPr>
          <w:ilvl w:val="0"/>
          <w:numId w:val="19"/>
        </w:numPr>
        <w:jc w:val="both"/>
        <w:rPr>
          <w:rFonts w:ascii="Times New Roman" w:eastAsia="Times New Roman" w:hAnsi="Times New Roman" w:cs="Times New Roman"/>
          <w:color w:val="auto"/>
          <w:lang w:val="es-ES" w:eastAsia="ar-SA"/>
        </w:rPr>
      </w:pPr>
      <w:r w:rsidRPr="00546EB1">
        <w:rPr>
          <w:rFonts w:ascii="Times New Roman" w:eastAsia="Times New Roman" w:hAnsi="Times New Roman" w:cs="Times New Roman"/>
          <w:color w:val="auto"/>
          <w:lang w:val="es-ES" w:eastAsia="ar-SA"/>
        </w:rPr>
        <w:t xml:space="preserve">Se revisó la circular DPE-136-2017 del 17-3-17 </w:t>
      </w:r>
      <w:r w:rsidRPr="00546EB1">
        <w:rPr>
          <w:rFonts w:ascii="Times New Roman" w:hAnsi="Times New Roman" w:cs="Times New Roman"/>
          <w:i/>
        </w:rPr>
        <w:t>“Programa de Transporte Estudiantil, modalidad subsidios: Lineamientos a operar a partir del Ciclo Lectivo 2017</w:t>
      </w:r>
      <w:r w:rsidRPr="00546EB1">
        <w:rPr>
          <w:rFonts w:ascii="Times New Roman" w:eastAsia="Times New Roman" w:hAnsi="Times New Roman" w:cs="Times New Roman"/>
          <w:color w:val="auto"/>
          <w:lang w:val="es-ES" w:eastAsia="ar-SA"/>
        </w:rPr>
        <w:t>”</w:t>
      </w:r>
      <w:r w:rsidR="002F7C34" w:rsidRPr="00546EB1">
        <w:rPr>
          <w:rFonts w:ascii="Times New Roman" w:eastAsia="Times New Roman" w:hAnsi="Times New Roman" w:cs="Times New Roman"/>
          <w:color w:val="auto"/>
          <w:lang w:val="es-ES" w:eastAsia="ar-SA"/>
        </w:rPr>
        <w:t xml:space="preserve">. </w:t>
      </w:r>
      <w:r w:rsidR="00C326E8" w:rsidRPr="00546EB1">
        <w:rPr>
          <w:rFonts w:ascii="Times New Roman" w:eastAsia="Times New Roman" w:hAnsi="Times New Roman" w:cs="Times New Roman"/>
          <w:color w:val="auto"/>
          <w:lang w:val="es-ES" w:eastAsia="ar-SA"/>
        </w:rPr>
        <w:t>En ella se gira una serie de lineamientos</w:t>
      </w:r>
      <w:r w:rsidR="006829E5" w:rsidRPr="00546EB1">
        <w:rPr>
          <w:rFonts w:ascii="Times New Roman" w:eastAsia="Times New Roman" w:hAnsi="Times New Roman" w:cs="Times New Roman"/>
          <w:color w:val="auto"/>
          <w:lang w:val="es-ES" w:eastAsia="ar-SA"/>
        </w:rPr>
        <w:t xml:space="preserve"> </w:t>
      </w:r>
      <w:r w:rsidR="004A3BEF" w:rsidRPr="00546EB1">
        <w:rPr>
          <w:rFonts w:ascii="Times New Roman" w:eastAsia="Times New Roman" w:hAnsi="Times New Roman" w:cs="Times New Roman"/>
          <w:color w:val="auto"/>
          <w:lang w:val="es-ES" w:eastAsia="ar-SA"/>
        </w:rPr>
        <w:t>que los</w:t>
      </w:r>
      <w:r w:rsidR="00C326E8" w:rsidRPr="00546EB1">
        <w:rPr>
          <w:rFonts w:ascii="Times New Roman" w:eastAsia="Times New Roman" w:hAnsi="Times New Roman" w:cs="Times New Roman"/>
          <w:color w:val="auto"/>
          <w:lang w:val="es-ES" w:eastAsia="ar-SA"/>
        </w:rPr>
        <w:t xml:space="preserve"> actores involucrados deben </w:t>
      </w:r>
      <w:r w:rsidR="009D6DAA" w:rsidRPr="00546EB1">
        <w:rPr>
          <w:rFonts w:ascii="Times New Roman" w:eastAsia="Times New Roman" w:hAnsi="Times New Roman" w:cs="Times New Roman"/>
          <w:color w:val="auto"/>
          <w:lang w:val="es-ES" w:eastAsia="ar-SA"/>
        </w:rPr>
        <w:t>cumplir.</w:t>
      </w:r>
      <w:r w:rsidR="006829E5" w:rsidRPr="00546EB1">
        <w:rPr>
          <w:rFonts w:ascii="Times New Roman" w:eastAsia="Times New Roman" w:hAnsi="Times New Roman" w:cs="Times New Roman"/>
          <w:color w:val="auto"/>
          <w:lang w:val="es-ES" w:eastAsia="ar-SA"/>
        </w:rPr>
        <w:t xml:space="preserve"> </w:t>
      </w:r>
      <w:r w:rsidR="009D6DAA" w:rsidRPr="00546EB1">
        <w:rPr>
          <w:rFonts w:ascii="Times New Roman" w:eastAsia="Times New Roman" w:hAnsi="Times New Roman" w:cs="Times New Roman"/>
          <w:color w:val="auto"/>
          <w:lang w:val="es-ES" w:eastAsia="ar-SA"/>
        </w:rPr>
        <w:t xml:space="preserve">Cabe indicar que el punto 1, del </w:t>
      </w:r>
      <w:r w:rsidR="009D6DAA" w:rsidRPr="00546EB1">
        <w:rPr>
          <w:rFonts w:ascii="Times New Roman" w:eastAsia="Times New Roman" w:hAnsi="Times New Roman" w:cs="Times New Roman"/>
          <w:i/>
          <w:color w:val="auto"/>
          <w:lang w:val="es-ES" w:eastAsia="ar-SA"/>
        </w:rPr>
        <w:t>POR LO TANTO</w:t>
      </w:r>
      <w:r w:rsidR="009D6DAA" w:rsidRPr="00546EB1">
        <w:rPr>
          <w:rFonts w:ascii="Times New Roman" w:eastAsia="Times New Roman" w:hAnsi="Times New Roman" w:cs="Times New Roman"/>
          <w:color w:val="auto"/>
          <w:lang w:val="es-ES" w:eastAsia="ar-SA"/>
        </w:rPr>
        <w:t>, señala:</w:t>
      </w:r>
    </w:p>
    <w:p w14:paraId="70AF265B" w14:textId="77777777" w:rsidR="009D6DAA" w:rsidRDefault="009D6DAA" w:rsidP="009D6DAA">
      <w:pPr>
        <w:pStyle w:val="Default"/>
        <w:jc w:val="both"/>
        <w:rPr>
          <w:rFonts w:ascii="Times New Roman" w:eastAsia="Times New Roman" w:hAnsi="Times New Roman" w:cs="Times New Roman"/>
          <w:color w:val="auto"/>
          <w:lang w:val="es-ES" w:eastAsia="ar-SA"/>
        </w:rPr>
      </w:pPr>
      <w:r w:rsidRPr="00546EB1">
        <w:rPr>
          <w:rFonts w:ascii="Times New Roman" w:eastAsia="Times New Roman" w:hAnsi="Times New Roman" w:cs="Times New Roman"/>
          <w:color w:val="auto"/>
          <w:lang w:val="es-ES" w:eastAsia="ar-SA"/>
        </w:rPr>
        <w:t xml:space="preserve"> </w:t>
      </w:r>
    </w:p>
    <w:p w14:paraId="066CD86C" w14:textId="13119609" w:rsidR="00AD2598" w:rsidRPr="00DC235F" w:rsidRDefault="009D6DAA" w:rsidP="00DC235F">
      <w:pPr>
        <w:suppressAutoHyphens w:val="0"/>
        <w:autoSpaceDE w:val="0"/>
        <w:autoSpaceDN w:val="0"/>
        <w:adjustRightInd w:val="0"/>
        <w:ind w:left="567"/>
        <w:jc w:val="both"/>
        <w:rPr>
          <w:i/>
          <w:sz w:val="22"/>
          <w:szCs w:val="22"/>
        </w:rPr>
      </w:pPr>
      <w:r w:rsidRPr="00546EB1">
        <w:rPr>
          <w:i/>
          <w:sz w:val="22"/>
          <w:szCs w:val="22"/>
        </w:rPr>
        <w:t>1.-</w:t>
      </w:r>
      <w:r w:rsidRPr="00546EB1">
        <w:rPr>
          <w:b/>
          <w:i/>
          <w:sz w:val="22"/>
          <w:szCs w:val="22"/>
        </w:rPr>
        <w:t>DURACIÓN DE LOS CONTRATOS EN LAS RUTAS POR SUBSIDIOS</w:t>
      </w:r>
      <w:r w:rsidRPr="00546EB1">
        <w:rPr>
          <w:i/>
          <w:sz w:val="22"/>
          <w:szCs w:val="22"/>
        </w:rPr>
        <w:t>:</w:t>
      </w:r>
      <w:r w:rsidRPr="00546EB1">
        <w:rPr>
          <w:rFonts w:eastAsiaTheme="minorHAnsi"/>
          <w:i/>
          <w:iCs/>
          <w:color w:val="000000"/>
          <w:sz w:val="22"/>
          <w:szCs w:val="22"/>
          <w:lang w:val="es-CR" w:eastAsia="en-US"/>
        </w:rPr>
        <w:t xml:space="preserve"> (…), por lo tanto, se indica que los contratos privados entre el transportista y los estudiantes mayores de edad o los padres de familia y encargados legales, cuando los estudiantes son menores de edad; tendrán una duración de tres cursos lectivos y que los mismos deben ser suscritos con los actuales operadores una vez que finalicen los actuales contratos…</w:t>
      </w:r>
      <w:r w:rsidR="006829E5" w:rsidRPr="00546EB1">
        <w:rPr>
          <w:rFonts w:eastAsiaTheme="minorHAnsi"/>
          <w:i/>
          <w:iCs/>
          <w:color w:val="000000"/>
          <w:sz w:val="22"/>
          <w:szCs w:val="22"/>
          <w:lang w:val="es-CR" w:eastAsia="en-US"/>
        </w:rPr>
        <w:t>.</w:t>
      </w:r>
      <w:r w:rsidR="00C326E8" w:rsidRPr="00546EB1">
        <w:rPr>
          <w:i/>
          <w:sz w:val="22"/>
          <w:szCs w:val="22"/>
        </w:rPr>
        <w:t xml:space="preserve">   </w:t>
      </w:r>
    </w:p>
    <w:p w14:paraId="3681391A" w14:textId="77777777" w:rsidR="00EE5DC2" w:rsidRDefault="00EE5DC2" w:rsidP="00A73449">
      <w:pPr>
        <w:suppressAutoHyphens w:val="0"/>
        <w:autoSpaceDE w:val="0"/>
        <w:autoSpaceDN w:val="0"/>
        <w:adjustRightInd w:val="0"/>
        <w:jc w:val="both"/>
      </w:pPr>
    </w:p>
    <w:p w14:paraId="18B76D5F" w14:textId="77777777" w:rsidR="009D6DAA" w:rsidRPr="005C0FA7" w:rsidRDefault="00F36760" w:rsidP="00A73449">
      <w:pPr>
        <w:suppressAutoHyphens w:val="0"/>
        <w:autoSpaceDE w:val="0"/>
        <w:autoSpaceDN w:val="0"/>
        <w:adjustRightInd w:val="0"/>
        <w:jc w:val="both"/>
      </w:pPr>
      <w:r w:rsidRPr="00546EB1">
        <w:lastRenderedPageBreak/>
        <w:t>Como bien es consignado</w:t>
      </w:r>
      <w:r w:rsidR="006829E5" w:rsidRPr="00546EB1">
        <w:t>,</w:t>
      </w:r>
      <w:r w:rsidRPr="00546EB1">
        <w:t xml:space="preserve"> </w:t>
      </w:r>
      <w:r w:rsidR="009D6DAA" w:rsidRPr="00546EB1">
        <w:t>los contratos son de índole</w:t>
      </w:r>
      <w:r w:rsidR="002F2C15" w:rsidRPr="00546EB1">
        <w:t xml:space="preserve"> privado en </w:t>
      </w:r>
      <w:r w:rsidR="00163E69" w:rsidRPr="00546EB1">
        <w:t>los cuales las J</w:t>
      </w:r>
      <w:r w:rsidR="002F2C15" w:rsidRPr="00546EB1">
        <w:t xml:space="preserve">untas </w:t>
      </w:r>
      <w:r w:rsidR="00163E69" w:rsidRPr="00546EB1">
        <w:t>A</w:t>
      </w:r>
      <w:r w:rsidR="002F2C15" w:rsidRPr="00546EB1">
        <w:t xml:space="preserve">dministrativas y </w:t>
      </w:r>
      <w:r w:rsidR="00163E69" w:rsidRPr="00546EB1">
        <w:t>de Educación no tienen injerencia</w:t>
      </w:r>
      <w:r w:rsidR="002F2C15" w:rsidRPr="00546EB1">
        <w:t xml:space="preserve">, </w:t>
      </w:r>
      <w:r w:rsidRPr="00546EB1">
        <w:t xml:space="preserve">ya que es </w:t>
      </w:r>
      <w:r w:rsidR="006829E5" w:rsidRPr="00546EB1">
        <w:t xml:space="preserve">competencia </w:t>
      </w:r>
      <w:r w:rsidRPr="00546EB1">
        <w:t xml:space="preserve">entre </w:t>
      </w:r>
      <w:r w:rsidR="002F2C15" w:rsidRPr="00546EB1">
        <w:t xml:space="preserve">el transportista y los estudiantes. No obstante, se da la indicación de que se debe suscribir el contrato por una duración de tres cursos lectivos y que deben ser suscritos con los actuales operadores. Es del criterio de esta Auditoria que se está induciendo al estudiantado a suscribir un contrato </w:t>
      </w:r>
      <w:r w:rsidRPr="00546EB1">
        <w:t xml:space="preserve">privado y con ello al error. Ya </w:t>
      </w:r>
      <w:r w:rsidR="002F2C15" w:rsidRPr="00546EB1">
        <w:t xml:space="preserve">que no se está </w:t>
      </w:r>
      <w:r w:rsidRPr="00546EB1">
        <w:t>considerando las</w:t>
      </w:r>
      <w:r w:rsidR="002F2C15" w:rsidRPr="00546EB1">
        <w:t xml:space="preserve"> posibles variables </w:t>
      </w:r>
      <w:r w:rsidR="002F2C15" w:rsidRPr="005C0FA7">
        <w:t xml:space="preserve">de una eventual deserción del estudiante o bien un traslado de zona, entre otros. Situación que podría tener implicaciones </w:t>
      </w:r>
      <w:r w:rsidRPr="005C0FA7">
        <w:t xml:space="preserve">legales con el empresario transportista al firmar un contrato por tres </w:t>
      </w:r>
      <w:r w:rsidR="00CD1FE6" w:rsidRPr="005C0FA7">
        <w:t>periodos lectivos</w:t>
      </w:r>
      <w:r w:rsidRPr="005C0FA7">
        <w:t xml:space="preserve">. </w:t>
      </w:r>
    </w:p>
    <w:p w14:paraId="4FEB8996" w14:textId="77777777" w:rsidR="00F36760" w:rsidRPr="005C0FA7" w:rsidRDefault="00F36760" w:rsidP="00A73449">
      <w:pPr>
        <w:suppressAutoHyphens w:val="0"/>
        <w:autoSpaceDE w:val="0"/>
        <w:autoSpaceDN w:val="0"/>
        <w:adjustRightInd w:val="0"/>
        <w:jc w:val="both"/>
      </w:pPr>
    </w:p>
    <w:p w14:paraId="1A0A228D" w14:textId="77777777" w:rsidR="00036AE8" w:rsidRPr="005C0FA7" w:rsidRDefault="00B6673D" w:rsidP="00A73449">
      <w:pPr>
        <w:suppressAutoHyphens w:val="0"/>
        <w:autoSpaceDE w:val="0"/>
        <w:autoSpaceDN w:val="0"/>
        <w:adjustRightInd w:val="0"/>
        <w:jc w:val="both"/>
      </w:pPr>
      <w:r w:rsidRPr="005C0FA7">
        <w:t xml:space="preserve">Es de importancia destacar que la circular en mención rige también para el curso lectivo </w:t>
      </w:r>
      <w:r w:rsidR="00F36760" w:rsidRPr="005C0FA7">
        <w:t>del año 2018.</w:t>
      </w:r>
    </w:p>
    <w:p w14:paraId="11DC33A6" w14:textId="77777777" w:rsidR="00CD1FE6" w:rsidRPr="005C0FA7" w:rsidRDefault="00CD1FE6" w:rsidP="00A73449">
      <w:pPr>
        <w:suppressAutoHyphens w:val="0"/>
        <w:autoSpaceDE w:val="0"/>
        <w:autoSpaceDN w:val="0"/>
        <w:adjustRightInd w:val="0"/>
        <w:jc w:val="both"/>
      </w:pPr>
    </w:p>
    <w:p w14:paraId="47B6122A" w14:textId="77777777" w:rsidR="00E167B9" w:rsidRPr="005C0FA7" w:rsidRDefault="00CD1FE6">
      <w:pPr>
        <w:suppressAutoHyphens w:val="0"/>
        <w:autoSpaceDE w:val="0"/>
        <w:autoSpaceDN w:val="0"/>
        <w:adjustRightInd w:val="0"/>
        <w:jc w:val="both"/>
      </w:pPr>
      <w:r w:rsidRPr="005C0FA7">
        <w:t xml:space="preserve">Es </w:t>
      </w:r>
      <w:r w:rsidR="00FB2ADC" w:rsidRPr="005C0FA7">
        <w:t>de</w:t>
      </w:r>
      <w:r w:rsidRPr="005C0FA7">
        <w:t xml:space="preserve"> acotar que en el informe DFOE-SOC-IF-00026-2018 del 21 de diciembre de 2018 </w:t>
      </w:r>
      <w:r w:rsidR="00524463" w:rsidRPr="005C0FA7">
        <w:t xml:space="preserve">del ente Contralor </w:t>
      </w:r>
      <w:r w:rsidRPr="005C0FA7">
        <w:t>emit</w:t>
      </w:r>
      <w:r w:rsidR="00524463" w:rsidRPr="005C0FA7">
        <w:t>e la recomendación 4.5 al señor Ministro de Educación, en donde le indica: “Establecer e implementar en forma conjunta, con el Regulador General de los Servicios Públicos, acciones específicas que permitan concretar el modelo tarifario del servicio de transporte estudiantil...”, aspecto que guarda relación con la circular DPE-136-2017.</w:t>
      </w:r>
    </w:p>
    <w:p w14:paraId="6F2BAA7A" w14:textId="77777777" w:rsidR="000B6C30" w:rsidRPr="00DF7EF8" w:rsidRDefault="000B6C30" w:rsidP="00DF7EF8">
      <w:pPr>
        <w:pStyle w:val="Ttulo2"/>
        <w:jc w:val="both"/>
        <w:rPr>
          <w:sz w:val="24"/>
          <w:szCs w:val="24"/>
        </w:rPr>
      </w:pPr>
      <w:bookmarkStart w:id="20" w:name="_Toc3552507"/>
      <w:r w:rsidRPr="00DF7EF8">
        <w:rPr>
          <w:sz w:val="24"/>
          <w:szCs w:val="24"/>
        </w:rPr>
        <w:t>2.7 Revisión de la contratación directa 2016 CD-000101-0007300001 MEP-UCR</w:t>
      </w:r>
      <w:bookmarkEnd w:id="20"/>
    </w:p>
    <w:p w14:paraId="7385E49E" w14:textId="77777777" w:rsidR="000B6C30" w:rsidRPr="00546EB1" w:rsidRDefault="000B6C30" w:rsidP="000B6C30">
      <w:pPr>
        <w:pStyle w:val="Default"/>
        <w:jc w:val="both"/>
        <w:rPr>
          <w:rFonts w:ascii="Times New Roman" w:hAnsi="Times New Roman"/>
        </w:rPr>
      </w:pPr>
      <w:r w:rsidRPr="005C0FA7">
        <w:rPr>
          <w:rFonts w:ascii="Times New Roman" w:hAnsi="Times New Roman"/>
          <w:color w:val="auto"/>
        </w:rPr>
        <w:t>Se procedió a realizar una revisión y análisis del proceso de la contratación directa 2016 CD-000101-0007300001,</w:t>
      </w:r>
      <w:r w:rsidRPr="005C0FA7">
        <w:rPr>
          <w:color w:val="auto"/>
        </w:rPr>
        <w:t xml:space="preserve"> </w:t>
      </w:r>
      <w:r w:rsidRPr="005C0FA7">
        <w:rPr>
          <w:rFonts w:ascii="Times New Roman" w:hAnsi="Times New Roman" w:cs="Times New Roman"/>
          <w:color w:val="auto"/>
        </w:rPr>
        <w:t>denominado “Servici</w:t>
      </w:r>
      <w:r w:rsidRPr="005C0FA7">
        <w:rPr>
          <w:rFonts w:ascii="Times New Roman" w:hAnsi="Times New Roman"/>
          <w:color w:val="auto"/>
        </w:rPr>
        <w:t xml:space="preserve">o de Consultoría para el Fortalecimiento del Programa de Alimentación y Nutrición del Escolar y Adolecente (PANEA)”, adjudicado a la Universidad de Costa Rica. Cabe recalcar que al momento del presente estudio, los nuevos menús en cuanto al proceso e implementación no se encontraban debidamente establecidos, razón por la cual, no se evaluó el cumplimiento institucional </w:t>
      </w:r>
      <w:r w:rsidRPr="00546EB1">
        <w:rPr>
          <w:rFonts w:ascii="Times New Roman" w:hAnsi="Times New Roman"/>
        </w:rPr>
        <w:t>con respecto a los objetivos trazados.</w:t>
      </w:r>
    </w:p>
    <w:p w14:paraId="72A071DD" w14:textId="77777777" w:rsidR="000B6C30" w:rsidRPr="00546EB1" w:rsidRDefault="000B6C30" w:rsidP="000B6C30">
      <w:pPr>
        <w:pStyle w:val="Default"/>
        <w:jc w:val="both"/>
        <w:rPr>
          <w:rFonts w:ascii="Times New Roman" w:hAnsi="Times New Roman"/>
        </w:rPr>
      </w:pPr>
    </w:p>
    <w:p w14:paraId="103D1DDB" w14:textId="77777777" w:rsidR="000B6C30" w:rsidRPr="00546EB1" w:rsidRDefault="000B6C30" w:rsidP="000B6C30">
      <w:pPr>
        <w:pStyle w:val="Default"/>
        <w:jc w:val="both"/>
        <w:rPr>
          <w:rFonts w:ascii="Times New Roman" w:hAnsi="Times New Roman"/>
        </w:rPr>
      </w:pPr>
      <w:r w:rsidRPr="00546EB1">
        <w:rPr>
          <w:rFonts w:ascii="Times New Roman" w:hAnsi="Times New Roman"/>
        </w:rPr>
        <w:t xml:space="preserve">Del proceso de la contratación directa se pudo determinar lo siguiente: </w:t>
      </w:r>
    </w:p>
    <w:p w14:paraId="3C2D92CA" w14:textId="77777777" w:rsidR="000B6C30" w:rsidRPr="00DF7EF8" w:rsidRDefault="000B6C30" w:rsidP="00DF7EF8">
      <w:pPr>
        <w:pStyle w:val="Ttulo3"/>
        <w:rPr>
          <w:rFonts w:ascii="Times New Roman" w:hAnsi="Times New Roman" w:cs="Times New Roman"/>
          <w:color w:val="auto"/>
        </w:rPr>
      </w:pPr>
      <w:bookmarkStart w:id="21" w:name="_Toc3552508"/>
      <w:r w:rsidRPr="00DF7EF8">
        <w:rPr>
          <w:rFonts w:ascii="Times New Roman" w:hAnsi="Times New Roman" w:cs="Times New Roman"/>
          <w:color w:val="auto"/>
        </w:rPr>
        <w:t>2.7.1 Canales de comunicación</w:t>
      </w:r>
      <w:bookmarkEnd w:id="21"/>
    </w:p>
    <w:p w14:paraId="3B652208" w14:textId="77777777" w:rsidR="000B6C30" w:rsidRPr="00546EB1" w:rsidRDefault="000B6C30" w:rsidP="000B6C30">
      <w:pPr>
        <w:pStyle w:val="Default"/>
        <w:jc w:val="both"/>
        <w:rPr>
          <w:rFonts w:ascii="Times New Roman" w:hAnsi="Times New Roman"/>
          <w:color w:val="auto"/>
        </w:rPr>
      </w:pPr>
    </w:p>
    <w:p w14:paraId="31D74DCC" w14:textId="77777777" w:rsidR="000B6C30" w:rsidRPr="00546EB1" w:rsidRDefault="000B6C30" w:rsidP="000B6C30">
      <w:pPr>
        <w:pStyle w:val="Default"/>
        <w:jc w:val="both"/>
        <w:rPr>
          <w:rFonts w:ascii="Times New Roman" w:hAnsi="Times New Roman" w:cs="Times New Roman"/>
          <w:color w:val="auto"/>
        </w:rPr>
      </w:pPr>
      <w:r w:rsidRPr="00546EB1">
        <w:rPr>
          <w:rFonts w:ascii="Times New Roman" w:hAnsi="Times New Roman"/>
          <w:color w:val="auto"/>
        </w:rPr>
        <w:t>El trámite de la contratación directa 2016 CD-000101-0007300001,</w:t>
      </w:r>
      <w:r w:rsidRPr="00546EB1">
        <w:rPr>
          <w:color w:val="auto"/>
        </w:rPr>
        <w:t xml:space="preserve"> </w:t>
      </w:r>
      <w:r w:rsidRPr="00546EB1">
        <w:rPr>
          <w:rFonts w:ascii="Times New Roman" w:hAnsi="Times New Roman"/>
          <w:color w:val="auto"/>
        </w:rPr>
        <w:t>“</w:t>
      </w:r>
      <w:r w:rsidRPr="00546EB1">
        <w:rPr>
          <w:rFonts w:ascii="Times New Roman" w:hAnsi="Times New Roman"/>
        </w:rPr>
        <w:t xml:space="preserve">Servicio de Consultoría para el Fortalecimiento del Programa de Alimentación y Nutrición del Escolar y Adolecente (PANEA)”, tiene sus inicios en julio del año 2016, y a mediados de octubre  de este mismo año </w:t>
      </w:r>
      <w:r w:rsidRPr="00546EB1">
        <w:rPr>
          <w:rFonts w:ascii="Times New Roman" w:hAnsi="Times New Roman" w:cs="Times New Roman"/>
          <w:color w:val="auto"/>
        </w:rPr>
        <w:t xml:space="preserve">se notifica el contrato mediante el Sistema Integrado de Compras Públicas (SICOP). </w:t>
      </w:r>
    </w:p>
    <w:p w14:paraId="2EA109D3" w14:textId="77777777" w:rsidR="00DF7EF8" w:rsidRDefault="00DF7EF8" w:rsidP="000B6C30">
      <w:pPr>
        <w:pStyle w:val="Default"/>
        <w:jc w:val="both"/>
        <w:rPr>
          <w:rFonts w:ascii="Times New Roman" w:hAnsi="Times New Roman" w:cs="Times New Roman"/>
          <w:color w:val="auto"/>
        </w:rPr>
      </w:pPr>
    </w:p>
    <w:p w14:paraId="70D021CF" w14:textId="24B5996F" w:rsidR="000B6C30" w:rsidRPr="00546EB1" w:rsidRDefault="000B6C30" w:rsidP="000B6C30">
      <w:pPr>
        <w:pStyle w:val="Default"/>
        <w:jc w:val="both"/>
        <w:rPr>
          <w:rFonts w:ascii="Times New Roman" w:hAnsi="Times New Roman" w:cs="Times New Roman"/>
          <w:color w:val="auto"/>
        </w:rPr>
      </w:pPr>
      <w:r w:rsidRPr="00546EB1">
        <w:rPr>
          <w:rFonts w:ascii="Times New Roman" w:hAnsi="Times New Roman" w:cs="Times New Roman"/>
          <w:color w:val="auto"/>
        </w:rPr>
        <w:t>Para dicho trámite la Dirección de Programas de Equidad contaba con un funcionario en su condición de asesor, el cual fungió como enlace en todo el proceso licitatorio entre el MEP y la UCR. No obstante, este funcionario mantenía un trámite de despido ante la Procuraduría General de la República, el cual mediante oficio AFP-596-2017 del 15 de junio de 2017 se gira instrucción a la Directora de Recursos Humanos del Ministerio de Educación Pública para que se proceda a su despido en definitiva con rige al 15 de junio de 2017.</w:t>
      </w:r>
    </w:p>
    <w:p w14:paraId="7BADE3D4" w14:textId="77777777" w:rsidR="000B6C30" w:rsidRPr="00546EB1" w:rsidRDefault="000B6C30" w:rsidP="000B6C30">
      <w:pPr>
        <w:pStyle w:val="Default"/>
        <w:jc w:val="both"/>
        <w:rPr>
          <w:rFonts w:ascii="Times New Roman" w:hAnsi="Times New Roman"/>
        </w:rPr>
      </w:pPr>
      <w:r w:rsidRPr="00546EB1">
        <w:rPr>
          <w:rFonts w:ascii="Times New Roman" w:hAnsi="Times New Roman" w:cs="Times New Roman"/>
          <w:color w:val="auto"/>
        </w:rPr>
        <w:lastRenderedPageBreak/>
        <w:t xml:space="preserve">Por su parte la Dirección de Recursos Humanos, a través del Área Legal mediante oficio </w:t>
      </w:r>
      <w:r w:rsidRPr="00546EB1">
        <w:rPr>
          <w:rFonts w:ascii="Times New Roman" w:hAnsi="Times New Roman"/>
        </w:rPr>
        <w:t xml:space="preserve">DRH-651-2017 del 21 de junio de 2017, le comunica al jefe del Departamento de Gestión Disciplinaria sobre el pronunciamiento de la Procuraduría sobre el cese del funcionario a partir del 15 de junio de 2017. No obstante, no se hace extensiva la comunicación a la Dirección de Programas de Equidad, situación que le impide a dicha Directora conocerlo, con el fin de tomar las acciones necesarias. </w:t>
      </w:r>
    </w:p>
    <w:p w14:paraId="590A2FEE" w14:textId="77777777" w:rsidR="000B6C30" w:rsidRPr="00546EB1" w:rsidRDefault="000B6C30" w:rsidP="000B6C30">
      <w:pPr>
        <w:pStyle w:val="Default"/>
        <w:jc w:val="both"/>
        <w:rPr>
          <w:rFonts w:ascii="Times New Roman" w:hAnsi="Times New Roman" w:cs="Times New Roman"/>
          <w:color w:val="auto"/>
        </w:rPr>
      </w:pPr>
    </w:p>
    <w:p w14:paraId="76DD974C" w14:textId="77777777" w:rsidR="000B6C30" w:rsidRPr="00546EB1" w:rsidRDefault="000B6C30" w:rsidP="000B6C30">
      <w:pPr>
        <w:pStyle w:val="Default"/>
        <w:jc w:val="both"/>
        <w:rPr>
          <w:rFonts w:ascii="Times New Roman" w:hAnsi="Times New Roman" w:cs="Times New Roman"/>
          <w:color w:val="auto"/>
        </w:rPr>
      </w:pPr>
      <w:r w:rsidRPr="00546EB1">
        <w:rPr>
          <w:rFonts w:ascii="Times New Roman" w:hAnsi="Times New Roman" w:cs="Times New Roman"/>
          <w:color w:val="auto"/>
        </w:rPr>
        <w:t xml:space="preserve">Posterior a la fecha del despido, y a pesar de su cese, se localizó correos internos institucionales que evidencian la continuidad e injerencia de dicho funcionario en el proceso de contratación. </w:t>
      </w:r>
    </w:p>
    <w:p w14:paraId="2E0236A5" w14:textId="77777777" w:rsidR="000B6C30" w:rsidRPr="00546EB1" w:rsidRDefault="000B6C30" w:rsidP="000B6C30">
      <w:pPr>
        <w:pStyle w:val="Default"/>
        <w:jc w:val="both"/>
        <w:rPr>
          <w:b/>
        </w:rPr>
      </w:pPr>
    </w:p>
    <w:p w14:paraId="25F7317C" w14:textId="77777777" w:rsidR="000B6C30" w:rsidRPr="00546EB1" w:rsidRDefault="000B6C30" w:rsidP="000B6C30">
      <w:pPr>
        <w:autoSpaceDE w:val="0"/>
        <w:autoSpaceDN w:val="0"/>
        <w:adjustRightInd w:val="0"/>
        <w:jc w:val="both"/>
        <w:rPr>
          <w:i/>
          <w:color w:val="000000"/>
        </w:rPr>
      </w:pPr>
      <w:r w:rsidRPr="00546EB1">
        <w:rPr>
          <w:color w:val="000000"/>
        </w:rPr>
        <w:t>Al respecto las Normas de Control Interno para el Sector Público, en el numeral 5.7.1 Canales y medios de comunicación señalan que “</w:t>
      </w:r>
      <w:r w:rsidRPr="00546EB1">
        <w:rPr>
          <w:i/>
          <w:color w:val="000000"/>
        </w:rPr>
        <w:t>Deben establecerse y funcionar adecuados canales y medios de comunicación, que permitan trasladar la información de manera transparente, ágil, segura, correcta y oportuna, a los destinatarios idóneos dentro y fuera de la institución”.</w:t>
      </w:r>
    </w:p>
    <w:p w14:paraId="173217D9" w14:textId="77777777" w:rsidR="000B6C30" w:rsidRPr="00546EB1" w:rsidRDefault="000B6C30" w:rsidP="000B6C30">
      <w:pPr>
        <w:pStyle w:val="Default"/>
        <w:jc w:val="both"/>
        <w:rPr>
          <w:rFonts w:ascii="Times New Roman" w:hAnsi="Times New Roman"/>
          <w:color w:val="FF0000"/>
          <w:sz w:val="22"/>
          <w:szCs w:val="22"/>
        </w:rPr>
      </w:pPr>
    </w:p>
    <w:p w14:paraId="77C9A357" w14:textId="6F2672C7" w:rsidR="000B6C30" w:rsidRPr="00546EB1" w:rsidRDefault="000B6C30" w:rsidP="000B6C30">
      <w:pPr>
        <w:pStyle w:val="Default"/>
        <w:jc w:val="both"/>
        <w:rPr>
          <w:b/>
          <w:color w:val="auto"/>
        </w:rPr>
      </w:pPr>
      <w:r w:rsidRPr="00546EB1">
        <w:rPr>
          <w:rFonts w:ascii="Times New Roman" w:hAnsi="Times New Roman"/>
          <w:color w:val="auto"/>
        </w:rPr>
        <w:t>La ausencia de un procedimiento interno que facilite el trasiego de este tipo de información a nivel de la Dirección de Recursos Humanos y la Instancia en donde se encuentre destacado el funcionario, permitió por un lado, que el funcionario involucrado continuara ejerciendo sus funciones normalmente. Y por otro, la Directora de Programas de Equidad</w:t>
      </w:r>
      <w:r w:rsidR="003B3D0F">
        <w:rPr>
          <w:rFonts w:ascii="Times New Roman" w:hAnsi="Times New Roman"/>
          <w:color w:val="auto"/>
        </w:rPr>
        <w:t xml:space="preserve"> e</w:t>
      </w:r>
      <w:r w:rsidR="004F0162">
        <w:rPr>
          <w:rFonts w:ascii="Times New Roman" w:hAnsi="Times New Roman"/>
          <w:color w:val="auto"/>
        </w:rPr>
        <w:t>n</w:t>
      </w:r>
      <w:r w:rsidR="003B3D0F">
        <w:rPr>
          <w:rFonts w:ascii="Times New Roman" w:hAnsi="Times New Roman"/>
          <w:color w:val="auto"/>
        </w:rPr>
        <w:t xml:space="preserve"> su momento</w:t>
      </w:r>
      <w:r w:rsidRPr="00546EB1">
        <w:rPr>
          <w:rFonts w:ascii="Times New Roman" w:hAnsi="Times New Roman"/>
          <w:color w:val="auto"/>
        </w:rPr>
        <w:t xml:space="preserve"> no tomara las acciones oportunas en el devenir del trámite en cuestión.</w:t>
      </w:r>
    </w:p>
    <w:p w14:paraId="56A80D81" w14:textId="77777777" w:rsidR="000B6C30" w:rsidRPr="00DF7EF8" w:rsidRDefault="000B6C30" w:rsidP="00DF7EF8">
      <w:pPr>
        <w:pStyle w:val="Ttulo3"/>
        <w:jc w:val="both"/>
        <w:rPr>
          <w:rFonts w:ascii="Times New Roman" w:hAnsi="Times New Roman" w:cs="Times New Roman"/>
          <w:color w:val="auto"/>
        </w:rPr>
      </w:pPr>
      <w:bookmarkStart w:id="22" w:name="_Toc3552509"/>
      <w:r w:rsidRPr="00DF7EF8">
        <w:rPr>
          <w:rFonts w:ascii="Times New Roman" w:hAnsi="Times New Roman" w:cs="Times New Roman"/>
          <w:color w:val="auto"/>
        </w:rPr>
        <w:t>2.7.2 Documentos de respaldo</w:t>
      </w:r>
      <w:bookmarkEnd w:id="22"/>
    </w:p>
    <w:p w14:paraId="081ADF8A" w14:textId="77777777" w:rsidR="000B6C30" w:rsidRPr="00546EB1" w:rsidRDefault="000B6C30" w:rsidP="000B6C30">
      <w:pPr>
        <w:jc w:val="both"/>
        <w:rPr>
          <w:rFonts w:eastAsiaTheme="minorHAnsi"/>
        </w:rPr>
      </w:pPr>
    </w:p>
    <w:p w14:paraId="09FE642A" w14:textId="77777777" w:rsidR="000B6C30" w:rsidRPr="00546EB1" w:rsidRDefault="000B6C30" w:rsidP="000B6C30">
      <w:pPr>
        <w:jc w:val="both"/>
      </w:pPr>
      <w:r w:rsidRPr="00546EB1">
        <w:rPr>
          <w:rFonts w:eastAsiaTheme="minorHAnsi"/>
        </w:rPr>
        <w:t xml:space="preserve">Del análisis de la contratación se determinó que la DPE </w:t>
      </w:r>
      <w:r w:rsidRPr="00546EB1">
        <w:t>conformó un equipo de trabajo con el fin de dar seguimiento al proyecto PANEA, MEP-UCR mediante reuniones, sesiones de trabajos y talleres que evaluarían aspectos varios como: términos de menú, porcentajes de cada tiempo e ingesta diaria por estudiante de comida, nutrientes, revisión de entregables en algunos casos, entre otros.</w:t>
      </w:r>
    </w:p>
    <w:p w14:paraId="7F55471E" w14:textId="77777777" w:rsidR="000B6C30" w:rsidRPr="00546EB1" w:rsidRDefault="000B6C30" w:rsidP="000B6C30">
      <w:pPr>
        <w:autoSpaceDE w:val="0"/>
        <w:autoSpaceDN w:val="0"/>
        <w:adjustRightInd w:val="0"/>
        <w:jc w:val="both"/>
        <w:rPr>
          <w:rFonts w:eastAsiaTheme="minorHAnsi"/>
          <w:lang w:eastAsia="en-US"/>
        </w:rPr>
      </w:pPr>
    </w:p>
    <w:p w14:paraId="05963C05" w14:textId="77777777" w:rsidR="000B6C30" w:rsidRPr="00546EB1" w:rsidRDefault="000B6C30" w:rsidP="000B6C30">
      <w:pPr>
        <w:autoSpaceDE w:val="0"/>
        <w:autoSpaceDN w:val="0"/>
        <w:adjustRightInd w:val="0"/>
        <w:jc w:val="both"/>
        <w:rPr>
          <w:rFonts w:eastAsiaTheme="minorHAnsi"/>
          <w:lang w:eastAsia="en-US"/>
        </w:rPr>
      </w:pPr>
      <w:r w:rsidRPr="00546EB1">
        <w:rPr>
          <w:rFonts w:eastAsiaTheme="minorHAnsi"/>
          <w:lang w:eastAsia="en-US"/>
        </w:rPr>
        <w:t xml:space="preserve">De lo anterior es importante señalar, que mediante el oficio DPE-206-2018 del 17 de abril de 2018, la Dirección de Programas de Equidad indica: </w:t>
      </w:r>
    </w:p>
    <w:p w14:paraId="6F893181" w14:textId="77777777" w:rsidR="000B6C30" w:rsidRPr="00546EB1" w:rsidRDefault="000B6C30" w:rsidP="000B6C30">
      <w:pPr>
        <w:autoSpaceDE w:val="0"/>
        <w:autoSpaceDN w:val="0"/>
        <w:adjustRightInd w:val="0"/>
        <w:jc w:val="both"/>
        <w:rPr>
          <w:rFonts w:eastAsiaTheme="minorHAnsi"/>
          <w:lang w:eastAsia="en-US"/>
        </w:rPr>
      </w:pPr>
    </w:p>
    <w:p w14:paraId="7D3D09B6" w14:textId="77777777" w:rsidR="000B6C30" w:rsidRPr="00546EB1" w:rsidRDefault="000B6C30" w:rsidP="000B6C30">
      <w:pPr>
        <w:ind w:left="567"/>
        <w:jc w:val="both"/>
        <w:rPr>
          <w:i/>
          <w:sz w:val="22"/>
          <w:szCs w:val="22"/>
        </w:rPr>
      </w:pPr>
      <w:r w:rsidRPr="00546EB1">
        <w:rPr>
          <w:i/>
          <w:sz w:val="22"/>
          <w:szCs w:val="22"/>
        </w:rPr>
        <w:t>Las revisiones técnicas de los productos fueron realizadas por la Administradora del Contrato. Al respecto la contratación estableció una administración del contrato unipersonal y el proceso intelectivo de análisis de los entregables se refleja en las actas de aprobación. Lo anterior conforme a la normativa y lineamientos de la proveeduría para los administradores del contrato. Sin embargo, para algunos de los productos, se consideró conveniente convocar a un grupo de funcionarios de la DPE, para revisar temas más puntuales relacionados con aspectos administrativos y legales.</w:t>
      </w:r>
    </w:p>
    <w:p w14:paraId="29AA8208" w14:textId="77777777" w:rsidR="000B6C30" w:rsidRPr="00546EB1" w:rsidRDefault="000B6C30" w:rsidP="000B6C30">
      <w:pPr>
        <w:ind w:left="567"/>
        <w:jc w:val="both"/>
        <w:rPr>
          <w:sz w:val="22"/>
          <w:szCs w:val="22"/>
        </w:rPr>
      </w:pPr>
    </w:p>
    <w:p w14:paraId="0D4B2A93" w14:textId="77777777" w:rsidR="000B6C30" w:rsidRPr="00546EB1" w:rsidRDefault="000B6C30" w:rsidP="000B6C30">
      <w:pPr>
        <w:jc w:val="both"/>
      </w:pPr>
      <w:r w:rsidRPr="00546EB1">
        <w:t>Por otro lado, señala que… “s</w:t>
      </w:r>
      <w:r w:rsidRPr="00546EB1">
        <w:rPr>
          <w:i/>
        </w:rPr>
        <w:t>e realizaron reuniones específicas y talleres de consenso, donde participaron los funcionarios de la Escuela de Nutrición de la UCR encargados del proceso junto con funcionarios de la DPE</w:t>
      </w:r>
      <w:r w:rsidRPr="00546EB1">
        <w:t>.”</w:t>
      </w:r>
    </w:p>
    <w:p w14:paraId="17AD0FB0" w14:textId="77777777" w:rsidR="000B6C30" w:rsidRPr="00546EB1" w:rsidRDefault="000B6C30" w:rsidP="000B6C30">
      <w:pPr>
        <w:ind w:left="567"/>
        <w:jc w:val="both"/>
      </w:pPr>
    </w:p>
    <w:p w14:paraId="65CBF9B5" w14:textId="77777777" w:rsidR="00DC235F" w:rsidRDefault="00DC235F" w:rsidP="000B6C30">
      <w:pPr>
        <w:jc w:val="both"/>
        <w:rPr>
          <w:rFonts w:eastAsiaTheme="minorHAnsi"/>
          <w:lang w:eastAsia="en-US"/>
        </w:rPr>
      </w:pPr>
    </w:p>
    <w:p w14:paraId="653F94F3" w14:textId="77777777" w:rsidR="000B6C30" w:rsidRPr="00546EB1" w:rsidRDefault="000B6C30" w:rsidP="000B6C30">
      <w:pPr>
        <w:jc w:val="both"/>
        <w:rPr>
          <w:rFonts w:eastAsiaTheme="minorHAnsi"/>
          <w:lang w:eastAsia="en-US"/>
        </w:rPr>
      </w:pPr>
      <w:r w:rsidRPr="00546EB1">
        <w:rPr>
          <w:rFonts w:eastAsiaTheme="minorHAnsi"/>
          <w:lang w:eastAsia="en-US"/>
        </w:rPr>
        <w:lastRenderedPageBreak/>
        <w:t>Adicionalmente, indicó que…</w:t>
      </w:r>
      <w:r w:rsidRPr="00546EB1">
        <w:t xml:space="preserve"> “</w:t>
      </w:r>
      <w:r w:rsidRPr="00546EB1">
        <w:rPr>
          <w:i/>
        </w:rPr>
        <w:t>En las listas de asistencia que se facilitaron a la Auditoría el 24 de enero del 2018, evidencia la participación de los funcionarios de la DPE en las reuniones y talleres, donde se enfatiza en algunas de ellas la entrega de productos revisados o discusión de aspectos de los productos para su corrección”.</w:t>
      </w:r>
    </w:p>
    <w:p w14:paraId="53420917" w14:textId="77777777" w:rsidR="003B3D0F" w:rsidRDefault="003B3D0F" w:rsidP="000B6C30">
      <w:pPr>
        <w:jc w:val="both"/>
        <w:rPr>
          <w:rFonts w:eastAsiaTheme="minorHAnsi"/>
          <w:lang w:eastAsia="en-US"/>
        </w:rPr>
      </w:pPr>
    </w:p>
    <w:p w14:paraId="276396E4" w14:textId="77777777" w:rsidR="000B6C30" w:rsidRPr="00546EB1" w:rsidRDefault="000B6C30" w:rsidP="000B6C30">
      <w:pPr>
        <w:jc w:val="both"/>
        <w:rPr>
          <w:rFonts w:eastAsiaTheme="minorHAnsi"/>
          <w:lang w:eastAsia="en-US"/>
        </w:rPr>
      </w:pPr>
      <w:r w:rsidRPr="00546EB1">
        <w:rPr>
          <w:rFonts w:eastAsiaTheme="minorHAnsi"/>
          <w:lang w:eastAsia="en-US"/>
        </w:rPr>
        <w:t>Si bien es cierto y como indica el oficio, las actas de seguimiento al proyecto de fortalecimiento PANEA, MEP-UCR, con la lista de asistencia fueron entregadas a la Auditoría Interna. No obstante, en ellas no se logra identificar, ni se consigna referencia alguna de los productos (entregables) sujetos a revisión, además de las sesiones de trabajo y talleres, igualmente no consignan las referencias pertinentes.</w:t>
      </w:r>
    </w:p>
    <w:p w14:paraId="32A07302" w14:textId="77777777" w:rsidR="000B6C30" w:rsidRPr="00546EB1" w:rsidRDefault="000B6C30" w:rsidP="000B6C30">
      <w:pPr>
        <w:jc w:val="both"/>
        <w:rPr>
          <w:rFonts w:eastAsiaTheme="minorHAnsi"/>
          <w:lang w:eastAsia="en-US"/>
        </w:rPr>
      </w:pPr>
    </w:p>
    <w:p w14:paraId="5068E6D2" w14:textId="77777777" w:rsidR="000B6C30" w:rsidRPr="00546EB1" w:rsidRDefault="000B6C30" w:rsidP="000B6C30">
      <w:pPr>
        <w:jc w:val="both"/>
      </w:pPr>
      <w:r w:rsidRPr="00546EB1">
        <w:rPr>
          <w:rFonts w:eastAsiaTheme="minorHAnsi"/>
          <w:lang w:eastAsia="en-US"/>
        </w:rPr>
        <w:t xml:space="preserve">Además, se observó que dichas actas no </w:t>
      </w:r>
      <w:r w:rsidRPr="00546EB1">
        <w:t xml:space="preserve">contienen la estructura, criterios y requisitos de tipo documental, “actas de órganos colegiados”, como dicta la normativa. Adicionalmente, en la documentación aportada no se consigna </w:t>
      </w:r>
      <w:r w:rsidRPr="00546EB1">
        <w:rPr>
          <w:rFonts w:eastAsiaTheme="minorHAnsi"/>
          <w:lang w:eastAsia="en-US"/>
        </w:rPr>
        <w:t>que lo ac</w:t>
      </w:r>
      <w:r w:rsidRPr="00546EB1">
        <w:t>ordado</w:t>
      </w:r>
      <w:r w:rsidRPr="00546EB1">
        <w:rPr>
          <w:rFonts w:eastAsiaTheme="minorHAnsi"/>
          <w:lang w:eastAsia="en-US"/>
        </w:rPr>
        <w:t xml:space="preserve"> en las reuniones o talleres anteriores</w:t>
      </w:r>
      <w:r w:rsidRPr="00546EB1">
        <w:t xml:space="preserve"> queda en firme en sesiones posteriores</w:t>
      </w:r>
      <w:r w:rsidRPr="00546EB1">
        <w:rPr>
          <w:rFonts w:eastAsiaTheme="minorHAnsi"/>
          <w:lang w:eastAsia="en-US"/>
        </w:rPr>
        <w:t>.</w:t>
      </w:r>
    </w:p>
    <w:p w14:paraId="636BF0FC" w14:textId="77777777" w:rsidR="000B6C30" w:rsidRPr="00546EB1" w:rsidRDefault="000B6C30" w:rsidP="000B6C30">
      <w:pPr>
        <w:pStyle w:val="Default"/>
        <w:jc w:val="both"/>
        <w:rPr>
          <w:rFonts w:ascii="Times New Roman" w:hAnsi="Times New Roman" w:cs="Times New Roman"/>
          <w:color w:val="auto"/>
        </w:rPr>
      </w:pPr>
    </w:p>
    <w:p w14:paraId="3F08E690" w14:textId="77777777" w:rsidR="000B6C30" w:rsidRPr="00546EB1" w:rsidRDefault="000B6C30" w:rsidP="000B6C30">
      <w:pPr>
        <w:pStyle w:val="Default"/>
        <w:jc w:val="both"/>
        <w:rPr>
          <w:rFonts w:ascii="Times New Roman" w:hAnsi="Times New Roman"/>
          <w:i/>
        </w:rPr>
      </w:pPr>
      <w:r w:rsidRPr="00546EB1">
        <w:rPr>
          <w:rFonts w:ascii="Times New Roman" w:hAnsi="Times New Roman" w:cs="Times New Roman"/>
          <w:color w:val="auto"/>
        </w:rPr>
        <w:t xml:space="preserve">Sobre este aspecto, la Ley General de Control Interno 8292, artículo </w:t>
      </w:r>
      <w:r w:rsidRPr="00546EB1">
        <w:rPr>
          <w:rFonts w:ascii="Times New Roman" w:hAnsi="Times New Roman" w:cs="Times New Roman"/>
          <w:color w:val="auto"/>
          <w:sz w:val="22"/>
          <w:szCs w:val="22"/>
        </w:rPr>
        <w:t xml:space="preserve">13.Ambiente de control, inciso b) consigna que la Administración debe: </w:t>
      </w:r>
      <w:r w:rsidRPr="00546EB1">
        <w:rPr>
          <w:rFonts w:ascii="Times New Roman" w:hAnsi="Times New Roman" w:cs="Times New Roman"/>
          <w:color w:val="auto"/>
        </w:rPr>
        <w:t>“</w:t>
      </w:r>
      <w:r w:rsidRPr="00546EB1">
        <w:rPr>
          <w:rFonts w:ascii="Times New Roman" w:hAnsi="Times New Roman"/>
          <w:i/>
        </w:rPr>
        <w:t>Desarrollar y mantener una filosofía y un estilo de gestión que permitan administrar un nivel de riesgo determinado, orientados al logro de resultados y a la medición del desempeño, y que promuevan una actitud abierta hacia mecanismos y procesos que mejoren el sistema de control interno.”</w:t>
      </w:r>
    </w:p>
    <w:p w14:paraId="5381F52F" w14:textId="77777777" w:rsidR="000B6C30" w:rsidRPr="00546EB1" w:rsidRDefault="000B6C30" w:rsidP="000B6C30">
      <w:pPr>
        <w:pStyle w:val="Default"/>
        <w:jc w:val="both"/>
        <w:rPr>
          <w:rFonts w:ascii="Times New Roman" w:hAnsi="Times New Roman" w:cs="Times New Roman"/>
          <w:color w:val="auto"/>
        </w:rPr>
      </w:pPr>
    </w:p>
    <w:p w14:paraId="3BA7E1DE" w14:textId="77777777" w:rsidR="000B6C30" w:rsidRPr="00546EB1" w:rsidRDefault="000B6C30" w:rsidP="000B6C30">
      <w:pPr>
        <w:pStyle w:val="Default"/>
        <w:jc w:val="both"/>
        <w:rPr>
          <w:rFonts w:ascii="Times New Roman" w:hAnsi="Times New Roman"/>
        </w:rPr>
      </w:pPr>
      <w:r w:rsidRPr="00546EB1">
        <w:rPr>
          <w:rFonts w:ascii="Times New Roman" w:hAnsi="Times New Roman" w:cs="Times New Roman"/>
          <w:color w:val="auto"/>
        </w:rPr>
        <w:t>Asimismo la Ley General de la Administración Pública 6227, en el a</w:t>
      </w:r>
      <w:r w:rsidRPr="00546EB1">
        <w:rPr>
          <w:rFonts w:ascii="Times New Roman" w:hAnsi="Times New Roman"/>
        </w:rPr>
        <w:t>rtículo 56 indica que:</w:t>
      </w:r>
    </w:p>
    <w:p w14:paraId="3290DAAA" w14:textId="77777777" w:rsidR="000B6C30" w:rsidRPr="00546EB1" w:rsidRDefault="000B6C30" w:rsidP="000B6C30">
      <w:pPr>
        <w:autoSpaceDE w:val="0"/>
        <w:autoSpaceDN w:val="0"/>
        <w:adjustRightInd w:val="0"/>
        <w:jc w:val="both"/>
        <w:rPr>
          <w:rFonts w:eastAsiaTheme="minorHAnsi"/>
          <w:sz w:val="22"/>
          <w:szCs w:val="22"/>
          <w:lang w:eastAsia="en-US"/>
        </w:rPr>
      </w:pPr>
    </w:p>
    <w:p w14:paraId="7A217D80" w14:textId="77777777" w:rsidR="000B6C30" w:rsidRPr="00546EB1" w:rsidRDefault="000B6C30" w:rsidP="000B6C30">
      <w:pPr>
        <w:autoSpaceDE w:val="0"/>
        <w:autoSpaceDN w:val="0"/>
        <w:adjustRightInd w:val="0"/>
        <w:ind w:left="567"/>
        <w:jc w:val="both"/>
        <w:rPr>
          <w:rFonts w:eastAsiaTheme="minorHAnsi"/>
          <w:i/>
          <w:sz w:val="22"/>
          <w:szCs w:val="22"/>
          <w:lang w:eastAsia="en-US"/>
        </w:rPr>
      </w:pPr>
      <w:r w:rsidRPr="00546EB1">
        <w:rPr>
          <w:rFonts w:eastAsiaTheme="minorHAnsi"/>
          <w:sz w:val="22"/>
          <w:szCs w:val="22"/>
          <w:lang w:eastAsia="en-US"/>
        </w:rPr>
        <w:t xml:space="preserve">1. </w:t>
      </w:r>
      <w:r w:rsidRPr="00546EB1">
        <w:rPr>
          <w:rFonts w:eastAsiaTheme="minorHAnsi"/>
          <w:i/>
          <w:sz w:val="22"/>
          <w:szCs w:val="22"/>
          <w:lang w:eastAsia="en-US"/>
        </w:rPr>
        <w:t xml:space="preserve">De cada sesión se levantará un acta, que contendrá la indicación de las personas asistentes, así como las circunstancias de lugar y tiempo en que se ha celebrado, los puntos principales de la deliberación, la forma y resultado de la votación y el contenido de los acuerdos. </w:t>
      </w:r>
    </w:p>
    <w:p w14:paraId="71D89E38" w14:textId="77777777" w:rsidR="000B6C30" w:rsidRPr="00546EB1" w:rsidRDefault="000B6C30" w:rsidP="000B6C30">
      <w:pPr>
        <w:autoSpaceDE w:val="0"/>
        <w:autoSpaceDN w:val="0"/>
        <w:adjustRightInd w:val="0"/>
        <w:ind w:left="567"/>
        <w:jc w:val="both"/>
        <w:rPr>
          <w:rFonts w:eastAsiaTheme="minorHAnsi"/>
          <w:i/>
          <w:sz w:val="22"/>
          <w:szCs w:val="22"/>
          <w:lang w:eastAsia="en-US"/>
        </w:rPr>
      </w:pPr>
      <w:r w:rsidRPr="00546EB1">
        <w:rPr>
          <w:rFonts w:eastAsiaTheme="minorHAnsi"/>
          <w:i/>
          <w:sz w:val="22"/>
          <w:szCs w:val="22"/>
          <w:lang w:eastAsia="en-US"/>
        </w:rPr>
        <w:t>2. Las actas se aprobarán en la siguiente sesión ordinaria. Antes de esa aprobación carecerán de firmeza los acuerdos tomados en la respectiva sesión, a menos que los miembros presentes acuerden su firmeza por votación de dos tercios de la totalidad de los miembros del Colegio.</w:t>
      </w:r>
    </w:p>
    <w:p w14:paraId="1E3ABAF7" w14:textId="77777777" w:rsidR="000B6C30" w:rsidRPr="00546EB1" w:rsidRDefault="000B6C30" w:rsidP="000B6C30">
      <w:pPr>
        <w:autoSpaceDE w:val="0"/>
        <w:autoSpaceDN w:val="0"/>
        <w:adjustRightInd w:val="0"/>
        <w:ind w:left="567"/>
        <w:jc w:val="both"/>
        <w:rPr>
          <w:rFonts w:eastAsiaTheme="minorHAnsi"/>
          <w:i/>
          <w:sz w:val="22"/>
          <w:szCs w:val="22"/>
          <w:lang w:eastAsia="en-US"/>
        </w:rPr>
      </w:pPr>
    </w:p>
    <w:p w14:paraId="3AC7C769" w14:textId="5D379268" w:rsidR="000B6C30" w:rsidRPr="00DC235F" w:rsidRDefault="000B6C30" w:rsidP="00DC235F">
      <w:pPr>
        <w:jc w:val="both"/>
        <w:rPr>
          <w:rFonts w:eastAsiaTheme="minorHAnsi"/>
          <w:lang w:eastAsia="en-US"/>
        </w:rPr>
      </w:pPr>
      <w:r w:rsidRPr="00546EB1">
        <w:rPr>
          <w:rFonts w:eastAsiaTheme="minorHAnsi"/>
          <w:lang w:eastAsia="en-US"/>
        </w:rPr>
        <w:t>Sobre este punto en particular, se concluye que, esta situación encontrada obedece a la ausencia de aplicabilidad de la normativa en materia relaciona con la forma de confeccionar y documentar las actas. Por otro lado la falta de un correcto manejo del control interno, donde se respalde lo que se recibe con sus respectivas correcciones y observaciones, puede dar lugar a que la Administración reciba productos o entregables que no se ajustan a las especificaciones solicitadas en el cartel. Aunado que la Administración se vería imposibilitada en tomar acciones legales por incumplimientos, ante la ausencia de evidencias, previo a la recepción definitiva del producto ofertado.</w:t>
      </w:r>
    </w:p>
    <w:p w14:paraId="1D39D00D" w14:textId="77777777" w:rsidR="000B6C30" w:rsidRPr="00DF7EF8" w:rsidRDefault="000B6C30" w:rsidP="00DF7EF8">
      <w:pPr>
        <w:pStyle w:val="Ttulo3"/>
        <w:rPr>
          <w:rFonts w:ascii="Times New Roman" w:hAnsi="Times New Roman" w:cs="Times New Roman"/>
          <w:color w:val="auto"/>
        </w:rPr>
      </w:pPr>
      <w:bookmarkStart w:id="23" w:name="_Toc3552510"/>
      <w:r w:rsidRPr="00DF7EF8">
        <w:rPr>
          <w:rFonts w:ascii="Times New Roman" w:hAnsi="Times New Roman" w:cs="Times New Roman"/>
          <w:color w:val="auto"/>
        </w:rPr>
        <w:t>2.7.3 Conformación del expediente</w:t>
      </w:r>
      <w:bookmarkEnd w:id="23"/>
    </w:p>
    <w:p w14:paraId="4DEF5272" w14:textId="77777777" w:rsidR="000B6C30" w:rsidRPr="00546EB1" w:rsidRDefault="000B6C30" w:rsidP="000B6C30">
      <w:pPr>
        <w:jc w:val="both"/>
        <w:rPr>
          <w:b/>
        </w:rPr>
      </w:pPr>
    </w:p>
    <w:p w14:paraId="37F89113" w14:textId="77777777" w:rsidR="00DC235F" w:rsidRDefault="000B6C30" w:rsidP="000B6C30">
      <w:pPr>
        <w:jc w:val="both"/>
      </w:pPr>
      <w:r w:rsidRPr="00546EB1">
        <w:t xml:space="preserve">De la revisión del expediente de la contratación 2016 CD-000101-0007300001, “Servicio de Consultoría para el Fortalecimiento del Programa de Alimentación y Nutrición del Escolar y Adolecente (PANEA)”, adjudicado a la Universidad de Costa Rica y en poder del administrador del proyecto. </w:t>
      </w:r>
    </w:p>
    <w:p w14:paraId="713AC371" w14:textId="55E251F4" w:rsidR="000B6C30" w:rsidRPr="00546EB1" w:rsidRDefault="000B6C30" w:rsidP="000B6C30">
      <w:pPr>
        <w:jc w:val="both"/>
      </w:pPr>
      <w:r w:rsidRPr="00546EB1">
        <w:lastRenderedPageBreak/>
        <w:t>Se pudo determinar que en los documentos que integran el expediente no se encuentran foliados. Además de la ausencia del orden secuencial del rol de la información que ingresa y de la que sale. Adicionalmente no se pudo identificar el orden de los tomos de los ampos que conforman todo el proceso de ejecución de la contratación directa.</w:t>
      </w:r>
    </w:p>
    <w:p w14:paraId="7668B2B2" w14:textId="77777777" w:rsidR="000B6C30" w:rsidRPr="00546EB1" w:rsidRDefault="000B6C30" w:rsidP="000B6C30">
      <w:pPr>
        <w:jc w:val="both"/>
        <w:rPr>
          <w:b/>
        </w:rPr>
      </w:pPr>
    </w:p>
    <w:p w14:paraId="299C3F31" w14:textId="77777777" w:rsidR="000B6C30" w:rsidRPr="00546EB1" w:rsidRDefault="000B6C30" w:rsidP="000B6C30">
      <w:pPr>
        <w:jc w:val="both"/>
        <w:rPr>
          <w:rFonts w:eastAsiaTheme="minorHAnsi"/>
          <w:lang w:eastAsia="en-US"/>
        </w:rPr>
      </w:pPr>
      <w:r w:rsidRPr="00546EB1">
        <w:rPr>
          <w:rFonts w:eastAsiaTheme="minorHAnsi"/>
          <w:lang w:eastAsia="en-US"/>
        </w:rPr>
        <w:t>Esta condición contraviene lo establecido en el Reglamento a la Ley de Contratación Administrativa, Artículo 127, el cual señala: “</w:t>
      </w:r>
      <w:r w:rsidRPr="00546EB1">
        <w:rPr>
          <w:rFonts w:eastAsiaTheme="minorHAnsi"/>
          <w:i/>
          <w:lang w:eastAsia="en-US"/>
        </w:rPr>
        <w:t xml:space="preserve">Para cada contratación se deberá confeccionar un expediente físico o electrónico, el cual estará encabezado por la decisión inicial y </w:t>
      </w:r>
      <w:r w:rsidRPr="00546EB1">
        <w:rPr>
          <w:rFonts w:eastAsiaTheme="minorHAnsi"/>
          <w:i/>
          <w:u w:val="single"/>
          <w:lang w:eastAsia="en-US"/>
        </w:rPr>
        <w:t>en el cual se ha de incorporar constancia de todas las actuaciones que se realicen</w:t>
      </w:r>
      <w:r w:rsidRPr="00546EB1">
        <w:rPr>
          <w:rFonts w:eastAsiaTheme="minorHAnsi"/>
          <w:i/>
          <w:lang w:eastAsia="en-US"/>
        </w:rPr>
        <w:t xml:space="preserve">. </w:t>
      </w:r>
      <w:r w:rsidRPr="00546EB1">
        <w:rPr>
          <w:rFonts w:eastAsiaTheme="minorHAnsi"/>
          <w:lang w:eastAsia="en-US"/>
        </w:rPr>
        <w:t>El subrayado no corresponde al original.</w:t>
      </w:r>
    </w:p>
    <w:p w14:paraId="6A30FD43" w14:textId="77777777" w:rsidR="000B6C30" w:rsidRPr="00546EB1" w:rsidRDefault="000B6C30" w:rsidP="000B6C30">
      <w:pPr>
        <w:jc w:val="both"/>
        <w:rPr>
          <w:rFonts w:eastAsiaTheme="minorHAnsi"/>
          <w:sz w:val="22"/>
          <w:szCs w:val="22"/>
          <w:lang w:eastAsia="en-US"/>
        </w:rPr>
      </w:pPr>
    </w:p>
    <w:p w14:paraId="44308955" w14:textId="62AC16EE" w:rsidR="000B6C30" w:rsidRPr="00971373" w:rsidRDefault="000B6C30" w:rsidP="00971373">
      <w:pPr>
        <w:autoSpaceDE w:val="0"/>
        <w:autoSpaceDN w:val="0"/>
        <w:adjustRightInd w:val="0"/>
        <w:jc w:val="both"/>
        <w:rPr>
          <w:rFonts w:eastAsiaTheme="minorHAnsi"/>
          <w:i/>
          <w:lang w:eastAsia="en-US"/>
        </w:rPr>
      </w:pPr>
      <w:r w:rsidRPr="00546EB1">
        <w:rPr>
          <w:rFonts w:eastAsiaTheme="minorHAnsi"/>
          <w:lang w:eastAsia="en-US"/>
        </w:rPr>
        <w:t>Además las Normas de Control Interno, en el numeral 4.4.1 Documentación y Registro de la Gestión Institucional, indica: “</w:t>
      </w:r>
      <w:r w:rsidRPr="00546EB1">
        <w:rPr>
          <w:rFonts w:eastAsiaTheme="minorHAnsi"/>
          <w:i/>
          <w:lang w:eastAsia="en-US"/>
        </w:rPr>
        <w:t>El jerarca y los titulares subordinados, según sus competencias, deben establecer las medidas pertinentes para que los actos de la gestión institucional, sus resultados y otros eventos relevantes, se registren y documenten en el</w:t>
      </w:r>
      <w:r w:rsidR="00971373">
        <w:rPr>
          <w:rFonts w:eastAsiaTheme="minorHAnsi"/>
          <w:i/>
          <w:lang w:eastAsia="en-US"/>
        </w:rPr>
        <w:t xml:space="preserve"> lapso adecuado y conveniente…” </w:t>
      </w:r>
      <w:r w:rsidR="00971373">
        <w:t>Esta desatención de la A</w:t>
      </w:r>
      <w:r w:rsidRPr="00546EB1">
        <w:t xml:space="preserve">dministración, puede generar pérdidas, extravío y desviaciones de documentos e información valiosa para el análisis y evaluación para la toma de decisiones. Adicionalmente se puede prestar para que </w:t>
      </w:r>
      <w:r w:rsidR="00DC235F">
        <w:t>sea manipulada incorrectamente.</w:t>
      </w:r>
    </w:p>
    <w:p w14:paraId="56996C46" w14:textId="77777777" w:rsidR="00453D12" w:rsidRPr="00DF7EF8" w:rsidRDefault="00453D12" w:rsidP="00DF7EF8">
      <w:pPr>
        <w:pStyle w:val="Ttulo1"/>
        <w:jc w:val="both"/>
        <w:rPr>
          <w:rFonts w:ascii="Times New Roman" w:hAnsi="Times New Roman" w:cs="Times New Roman"/>
          <w:b/>
          <w:color w:val="auto"/>
          <w:sz w:val="24"/>
          <w:szCs w:val="24"/>
        </w:rPr>
      </w:pPr>
      <w:bookmarkStart w:id="24" w:name="_Toc3552511"/>
      <w:r w:rsidRPr="00DF7EF8">
        <w:rPr>
          <w:rFonts w:ascii="Times New Roman" w:hAnsi="Times New Roman" w:cs="Times New Roman"/>
          <w:b/>
          <w:color w:val="auto"/>
          <w:sz w:val="24"/>
          <w:szCs w:val="24"/>
        </w:rPr>
        <w:t>3. CONCLUSIONES</w:t>
      </w:r>
      <w:bookmarkEnd w:id="24"/>
    </w:p>
    <w:p w14:paraId="56DB9238" w14:textId="77777777" w:rsidR="00453D12" w:rsidRPr="00546EB1" w:rsidRDefault="00453D12" w:rsidP="00184930">
      <w:pPr>
        <w:suppressAutoHyphens w:val="0"/>
        <w:autoSpaceDE w:val="0"/>
        <w:autoSpaceDN w:val="0"/>
        <w:adjustRightInd w:val="0"/>
        <w:jc w:val="both"/>
        <w:rPr>
          <w:rFonts w:eastAsiaTheme="minorHAnsi"/>
          <w:color w:val="000000"/>
          <w:lang w:val="es-CR" w:eastAsia="en-US"/>
        </w:rPr>
      </w:pPr>
    </w:p>
    <w:p w14:paraId="0337A11D" w14:textId="16787C74" w:rsidR="00C24DAC" w:rsidRPr="00546EB1" w:rsidRDefault="004A4215" w:rsidP="00C24DAC">
      <w:pPr>
        <w:jc w:val="both"/>
        <w:rPr>
          <w:rFonts w:eastAsiaTheme="minorHAnsi"/>
          <w:color w:val="000000"/>
          <w:lang w:val="es-CR" w:eastAsia="en-US"/>
        </w:rPr>
      </w:pPr>
      <w:r w:rsidRPr="00546EB1">
        <w:rPr>
          <w:rFonts w:eastAsiaTheme="minorHAnsi"/>
          <w:color w:val="000000"/>
          <w:lang w:val="es-CR" w:eastAsia="en-US"/>
        </w:rPr>
        <w:t>Ante los resultado</w:t>
      </w:r>
      <w:r w:rsidR="00607967" w:rsidRPr="00546EB1">
        <w:rPr>
          <w:rFonts w:eastAsiaTheme="minorHAnsi"/>
          <w:color w:val="000000"/>
          <w:lang w:val="es-CR" w:eastAsia="en-US"/>
        </w:rPr>
        <w:t xml:space="preserve">s expuestos, se concluye que la </w:t>
      </w:r>
      <w:r w:rsidR="006829E5" w:rsidRPr="00546EB1">
        <w:rPr>
          <w:rFonts w:eastAsiaTheme="minorHAnsi"/>
          <w:color w:val="000000"/>
          <w:lang w:val="es-CR" w:eastAsia="en-US"/>
        </w:rPr>
        <w:t>Dirección</w:t>
      </w:r>
      <w:r w:rsidR="00607967" w:rsidRPr="00546EB1">
        <w:rPr>
          <w:rFonts w:eastAsiaTheme="minorHAnsi"/>
          <w:color w:val="000000"/>
          <w:lang w:val="es-CR" w:eastAsia="en-US"/>
        </w:rPr>
        <w:t xml:space="preserve"> de Programas de Equidad presenta debilidades en el proceso de gestión, </w:t>
      </w:r>
      <w:r w:rsidR="00495A00" w:rsidRPr="00546EB1">
        <w:rPr>
          <w:rFonts w:eastAsiaTheme="minorHAnsi"/>
          <w:color w:val="000000"/>
          <w:lang w:val="es-CR" w:eastAsia="en-US"/>
        </w:rPr>
        <w:t xml:space="preserve">coordinación, supervisión </w:t>
      </w:r>
      <w:r w:rsidR="001D7D2A" w:rsidRPr="00546EB1">
        <w:rPr>
          <w:rFonts w:eastAsiaTheme="minorHAnsi"/>
          <w:color w:val="000000"/>
          <w:lang w:val="es-CR" w:eastAsia="en-US"/>
        </w:rPr>
        <w:t>y seguimiento en materia de su competencia.</w:t>
      </w:r>
      <w:r w:rsidR="00EE5DC2">
        <w:rPr>
          <w:rFonts w:eastAsiaTheme="minorHAnsi"/>
          <w:color w:val="000000"/>
          <w:lang w:val="es-CR" w:eastAsia="en-US"/>
        </w:rPr>
        <w:t xml:space="preserve"> </w:t>
      </w:r>
      <w:r w:rsidR="00FA4B9A" w:rsidRPr="00546EB1">
        <w:rPr>
          <w:rFonts w:eastAsiaTheme="minorHAnsi"/>
          <w:color w:val="000000"/>
          <w:lang w:val="es-CR" w:eastAsia="en-US"/>
        </w:rPr>
        <w:t>La falta de claridad de las directrices así como la información que se solicita a los entes externos</w:t>
      </w:r>
      <w:r w:rsidR="006534D6" w:rsidRPr="00546EB1">
        <w:rPr>
          <w:rFonts w:eastAsiaTheme="minorHAnsi"/>
          <w:color w:val="000000"/>
          <w:lang w:val="es-CR" w:eastAsia="en-US"/>
        </w:rPr>
        <w:t>,</w:t>
      </w:r>
      <w:r w:rsidR="00FA4B9A" w:rsidRPr="00546EB1">
        <w:rPr>
          <w:rFonts w:eastAsiaTheme="minorHAnsi"/>
          <w:color w:val="000000"/>
          <w:lang w:val="es-CR" w:eastAsia="en-US"/>
        </w:rPr>
        <w:t xml:space="preserve"> </w:t>
      </w:r>
      <w:r w:rsidR="006534D6" w:rsidRPr="00546EB1">
        <w:rPr>
          <w:rFonts w:eastAsiaTheme="minorHAnsi"/>
          <w:color w:val="000000"/>
          <w:lang w:val="es-CR" w:eastAsia="en-US"/>
        </w:rPr>
        <w:t xml:space="preserve">no </w:t>
      </w:r>
      <w:r w:rsidR="00FA4B9A" w:rsidRPr="00546EB1">
        <w:rPr>
          <w:rFonts w:eastAsiaTheme="minorHAnsi"/>
          <w:color w:val="000000"/>
          <w:lang w:val="es-CR" w:eastAsia="en-US"/>
        </w:rPr>
        <w:t xml:space="preserve">permite que se dé un trasiego de información </w:t>
      </w:r>
      <w:r w:rsidR="00C24DAC" w:rsidRPr="00546EB1">
        <w:rPr>
          <w:rFonts w:eastAsiaTheme="minorHAnsi"/>
          <w:color w:val="000000"/>
          <w:lang w:val="es-CR" w:eastAsia="en-US"/>
        </w:rPr>
        <w:t xml:space="preserve">clara y oportuna para la toma decisiones. </w:t>
      </w:r>
      <w:r w:rsidR="00B873E1" w:rsidRPr="00546EB1">
        <w:rPr>
          <w:rFonts w:eastAsiaTheme="minorHAnsi"/>
          <w:color w:val="000000"/>
          <w:lang w:val="es-CR" w:eastAsia="en-US"/>
        </w:rPr>
        <w:t xml:space="preserve">Además de </w:t>
      </w:r>
      <w:r w:rsidR="00C24DAC" w:rsidRPr="00546EB1">
        <w:rPr>
          <w:rFonts w:eastAsiaTheme="minorHAnsi"/>
          <w:color w:val="000000"/>
          <w:lang w:val="es-CR" w:eastAsia="en-US"/>
        </w:rPr>
        <w:t xml:space="preserve">ausencia </w:t>
      </w:r>
      <w:r w:rsidR="00B873E1" w:rsidRPr="00546EB1">
        <w:rPr>
          <w:rFonts w:eastAsiaTheme="minorHAnsi"/>
          <w:color w:val="000000"/>
          <w:lang w:val="es-CR" w:eastAsia="en-US"/>
        </w:rPr>
        <w:t xml:space="preserve">de procedimiento </w:t>
      </w:r>
      <w:r w:rsidR="00C24DAC" w:rsidRPr="00546EB1">
        <w:rPr>
          <w:rFonts w:eastAsiaTheme="minorHAnsi"/>
          <w:color w:val="000000"/>
          <w:lang w:val="es-CR" w:eastAsia="en-US"/>
        </w:rPr>
        <w:t>en los procesos internos</w:t>
      </w:r>
      <w:r w:rsidR="00B873E1" w:rsidRPr="00546EB1">
        <w:rPr>
          <w:rFonts w:eastAsiaTheme="minorHAnsi"/>
          <w:color w:val="000000"/>
          <w:lang w:val="es-CR" w:eastAsia="en-US"/>
        </w:rPr>
        <w:t xml:space="preserve"> que conlleva a </w:t>
      </w:r>
      <w:r w:rsidR="00C24DAC" w:rsidRPr="00546EB1">
        <w:rPr>
          <w:rFonts w:eastAsiaTheme="minorHAnsi"/>
          <w:color w:val="000000"/>
          <w:lang w:val="es-CR" w:eastAsia="en-US"/>
        </w:rPr>
        <w:t xml:space="preserve">una eficiente </w:t>
      </w:r>
      <w:r w:rsidR="00B873E1" w:rsidRPr="00546EB1">
        <w:rPr>
          <w:rFonts w:eastAsiaTheme="minorHAnsi"/>
          <w:color w:val="000000"/>
          <w:lang w:val="es-CR" w:eastAsia="en-US"/>
        </w:rPr>
        <w:t xml:space="preserve">gestión administrativa </w:t>
      </w:r>
      <w:r w:rsidR="006534D6" w:rsidRPr="00546EB1">
        <w:rPr>
          <w:rFonts w:eastAsiaTheme="minorHAnsi"/>
          <w:color w:val="000000"/>
          <w:lang w:val="es-CR" w:eastAsia="en-US"/>
        </w:rPr>
        <w:t xml:space="preserve">en lo concerniente a la </w:t>
      </w:r>
      <w:r w:rsidR="00C24DAC" w:rsidRPr="00546EB1">
        <w:rPr>
          <w:rFonts w:eastAsiaTheme="minorHAnsi"/>
          <w:color w:val="000000"/>
          <w:lang w:val="es-CR" w:eastAsia="en-US"/>
        </w:rPr>
        <w:t>supervisión, control y seguimiento de los fondos que fueron reintegrados a la Caja Única del Estado</w:t>
      </w:r>
      <w:r w:rsidR="006534D6" w:rsidRPr="00546EB1">
        <w:rPr>
          <w:rFonts w:eastAsiaTheme="minorHAnsi"/>
          <w:color w:val="000000"/>
          <w:lang w:val="es-CR" w:eastAsia="en-US"/>
        </w:rPr>
        <w:t>. Así como del manejo documental de los procesos de contratación.</w:t>
      </w:r>
    </w:p>
    <w:p w14:paraId="082C85DE" w14:textId="77777777" w:rsidR="00C24DAC" w:rsidRPr="00546EB1" w:rsidRDefault="00C24DAC" w:rsidP="00C24DAC">
      <w:pPr>
        <w:jc w:val="both"/>
        <w:rPr>
          <w:rFonts w:eastAsiaTheme="minorHAnsi"/>
          <w:color w:val="000000"/>
          <w:lang w:val="es-CR" w:eastAsia="en-US"/>
        </w:rPr>
      </w:pPr>
    </w:p>
    <w:p w14:paraId="52A30ED0" w14:textId="5125E500" w:rsidR="00184930" w:rsidRPr="00DC235F" w:rsidRDefault="00C24DAC" w:rsidP="00453D12">
      <w:pPr>
        <w:jc w:val="both"/>
      </w:pPr>
      <w:r w:rsidRPr="00546EB1">
        <w:rPr>
          <w:rFonts w:eastAsiaTheme="minorHAnsi"/>
          <w:color w:val="000000"/>
          <w:lang w:val="es-CR" w:eastAsia="en-US"/>
        </w:rPr>
        <w:t xml:space="preserve">Aunado a lo anterior la permisibilidad de funcionar con una Unidad de Control </w:t>
      </w:r>
      <w:r w:rsidR="00B873E1" w:rsidRPr="00546EB1">
        <w:t>Estratégico (UCE) en cuyo sistema organizacional no se encuentra debidamente constituido,</w:t>
      </w:r>
      <w:r w:rsidR="006534D6" w:rsidRPr="00546EB1">
        <w:t xml:space="preserve"> indica claramente el desconocimiento de la normativa al estar</w:t>
      </w:r>
      <w:r w:rsidR="00C4543F" w:rsidRPr="00546EB1">
        <w:t xml:space="preserve"> funcionando al margen de este.</w:t>
      </w:r>
      <w:r w:rsidR="008E54B5" w:rsidRPr="00546EB1">
        <w:t xml:space="preserve"> </w:t>
      </w:r>
    </w:p>
    <w:p w14:paraId="547C3477" w14:textId="77777777" w:rsidR="00453D12" w:rsidRPr="00DF7EF8" w:rsidRDefault="00453D12" w:rsidP="00DF7EF8">
      <w:pPr>
        <w:pStyle w:val="Ttulo1"/>
        <w:jc w:val="both"/>
        <w:rPr>
          <w:rFonts w:ascii="Times New Roman" w:hAnsi="Times New Roman" w:cs="Times New Roman"/>
          <w:b/>
          <w:color w:val="auto"/>
          <w:sz w:val="24"/>
          <w:szCs w:val="24"/>
        </w:rPr>
      </w:pPr>
      <w:bookmarkStart w:id="25" w:name="_Toc3552512"/>
      <w:r w:rsidRPr="00DF7EF8">
        <w:rPr>
          <w:rFonts w:ascii="Times New Roman" w:hAnsi="Times New Roman" w:cs="Times New Roman"/>
          <w:b/>
          <w:color w:val="auto"/>
          <w:sz w:val="24"/>
          <w:szCs w:val="24"/>
        </w:rPr>
        <w:t xml:space="preserve">4. </w:t>
      </w:r>
      <w:r w:rsidR="00314016" w:rsidRPr="00DF7EF8">
        <w:rPr>
          <w:rFonts w:ascii="Times New Roman" w:hAnsi="Times New Roman" w:cs="Times New Roman"/>
          <w:b/>
          <w:color w:val="auto"/>
          <w:sz w:val="24"/>
          <w:szCs w:val="24"/>
        </w:rPr>
        <w:t>RECOMENDACIONES</w:t>
      </w:r>
      <w:bookmarkEnd w:id="25"/>
    </w:p>
    <w:p w14:paraId="3BF594CB" w14:textId="77777777" w:rsidR="00314016" w:rsidRDefault="00314016" w:rsidP="00453D12">
      <w:pPr>
        <w:jc w:val="both"/>
        <w:rPr>
          <w:b/>
        </w:rPr>
      </w:pPr>
    </w:p>
    <w:p w14:paraId="575A083C" w14:textId="4E7FF4B7" w:rsidR="009A365A" w:rsidRPr="005C0FA7" w:rsidRDefault="009A365A" w:rsidP="00453D12">
      <w:pPr>
        <w:jc w:val="both"/>
        <w:rPr>
          <w:b/>
        </w:rPr>
      </w:pPr>
      <w:r w:rsidRPr="00546EB1">
        <w:rPr>
          <w:b/>
        </w:rPr>
        <w:t>Al</w:t>
      </w:r>
      <w:r w:rsidR="0077325B">
        <w:rPr>
          <w:b/>
        </w:rPr>
        <w:t xml:space="preserve"> </w:t>
      </w:r>
      <w:r w:rsidR="009A1613">
        <w:rPr>
          <w:b/>
        </w:rPr>
        <w:t>s</w:t>
      </w:r>
      <w:r w:rsidRPr="005C0FA7">
        <w:rPr>
          <w:b/>
        </w:rPr>
        <w:t>eñor Ministro de Educación</w:t>
      </w:r>
    </w:p>
    <w:p w14:paraId="33FAD37E" w14:textId="77777777" w:rsidR="005D3E46" w:rsidRPr="005C0FA7" w:rsidRDefault="005D3E46" w:rsidP="00453D12">
      <w:pPr>
        <w:jc w:val="both"/>
        <w:rPr>
          <w:b/>
        </w:rPr>
      </w:pPr>
    </w:p>
    <w:p w14:paraId="38905F9E" w14:textId="35CF1EEC" w:rsidR="005D3E46" w:rsidRPr="005C0FA7" w:rsidRDefault="00DC235F" w:rsidP="005D3E46">
      <w:pPr>
        <w:autoSpaceDE w:val="0"/>
        <w:autoSpaceDN w:val="0"/>
        <w:adjustRightInd w:val="0"/>
        <w:jc w:val="both"/>
      </w:pPr>
      <w:r>
        <w:rPr>
          <w:b/>
        </w:rPr>
        <w:t>4.</w:t>
      </w:r>
      <w:r w:rsidR="00A64BCA" w:rsidRPr="005C0FA7">
        <w:rPr>
          <w:b/>
        </w:rPr>
        <w:t>1</w:t>
      </w:r>
      <w:r w:rsidR="00A64BCA" w:rsidRPr="00EE5DC2">
        <w:rPr>
          <w:b/>
        </w:rPr>
        <w:t>.</w:t>
      </w:r>
      <w:r w:rsidR="009A11A0" w:rsidRPr="00EE5DC2">
        <w:rPr>
          <w:b/>
        </w:rPr>
        <w:t xml:space="preserve"> </w:t>
      </w:r>
      <w:r w:rsidR="00DE3769" w:rsidRPr="00EE5DC2">
        <w:t xml:space="preserve">Girar instrucciones </w:t>
      </w:r>
      <w:r w:rsidR="00DC246B" w:rsidRPr="00EE5DC2">
        <w:t xml:space="preserve">y dar seguimiento </w:t>
      </w:r>
      <w:r w:rsidR="00DE3769" w:rsidRPr="00EE5DC2">
        <w:t xml:space="preserve">a las instancias que corresponden, a fin de </w:t>
      </w:r>
      <w:r w:rsidR="00DC246B" w:rsidRPr="00EE5DC2">
        <w:t>que se realicen</w:t>
      </w:r>
      <w:r w:rsidR="00DC246B" w:rsidRPr="00EE5DC2">
        <w:rPr>
          <w:b/>
        </w:rPr>
        <w:t xml:space="preserve"> </w:t>
      </w:r>
      <w:r w:rsidR="005D3E46" w:rsidRPr="005C0FA7">
        <w:t xml:space="preserve">los cambios y ajustes necesarios a los procedimientos, manuales, circulares, directrices, con el fin de considerar lo consignado en el Decreto Ejecutivo N° 41007 – MEP, reforma al Decreto Ejecutivo Nº 38170-MEP, Organización Administrativa de las Oficinas Centrales del Ministerio de Educación Pública. </w:t>
      </w:r>
      <w:r w:rsidR="005D3E46" w:rsidRPr="005C0FA7">
        <w:rPr>
          <w:b/>
        </w:rPr>
        <w:t>(</w:t>
      </w:r>
      <w:r w:rsidR="005D3E46" w:rsidRPr="005C0FA7">
        <w:t>Ver comentario 2.2) (Aplicación inmediata)</w:t>
      </w:r>
      <w:r w:rsidR="0077325B" w:rsidRPr="005C0FA7">
        <w:t>.</w:t>
      </w:r>
      <w:r w:rsidR="005D3E46" w:rsidRPr="005C0FA7">
        <w:t xml:space="preserve"> Esta recomendación se encuentra en concordancia con la recomendación 4.4 del informe DFOE-SOC-IF-00026-2018 del 21 de diciembre, 2018 de la CGRP.</w:t>
      </w:r>
    </w:p>
    <w:p w14:paraId="41225784" w14:textId="77777777" w:rsidR="00506EEB" w:rsidRPr="005C0FA7" w:rsidRDefault="00506EEB" w:rsidP="005D3E46">
      <w:pPr>
        <w:autoSpaceDE w:val="0"/>
        <w:autoSpaceDN w:val="0"/>
        <w:adjustRightInd w:val="0"/>
        <w:jc w:val="both"/>
      </w:pPr>
    </w:p>
    <w:p w14:paraId="5D84488E" w14:textId="77777777" w:rsidR="00C22BA3" w:rsidRPr="005C0FA7" w:rsidRDefault="00314016" w:rsidP="00314016">
      <w:pPr>
        <w:jc w:val="both"/>
        <w:rPr>
          <w:b/>
        </w:rPr>
      </w:pPr>
      <w:r w:rsidRPr="005C0FA7">
        <w:rPr>
          <w:b/>
        </w:rPr>
        <w:lastRenderedPageBreak/>
        <w:t>A</w:t>
      </w:r>
      <w:r w:rsidR="007658F6" w:rsidRPr="005C0FA7">
        <w:rPr>
          <w:b/>
        </w:rPr>
        <w:t xml:space="preserve"> </w:t>
      </w:r>
      <w:r w:rsidRPr="005C0FA7">
        <w:rPr>
          <w:b/>
        </w:rPr>
        <w:t>l</w:t>
      </w:r>
      <w:r w:rsidR="007658F6" w:rsidRPr="005C0FA7">
        <w:rPr>
          <w:b/>
        </w:rPr>
        <w:t>a</w:t>
      </w:r>
      <w:r w:rsidR="004A3BEF" w:rsidRPr="005C0FA7">
        <w:rPr>
          <w:b/>
        </w:rPr>
        <w:t xml:space="preserve"> </w:t>
      </w:r>
      <w:r w:rsidRPr="005C0FA7">
        <w:rPr>
          <w:b/>
        </w:rPr>
        <w:t>Viceministr</w:t>
      </w:r>
      <w:r w:rsidR="007658F6" w:rsidRPr="005C0FA7">
        <w:rPr>
          <w:b/>
        </w:rPr>
        <w:t>a</w:t>
      </w:r>
      <w:r w:rsidRPr="005C0FA7">
        <w:rPr>
          <w:b/>
        </w:rPr>
        <w:t xml:space="preserve"> de Planificación Institucional y Coordinación Regional</w:t>
      </w:r>
    </w:p>
    <w:p w14:paraId="36E0551D" w14:textId="77777777" w:rsidR="006829E5" w:rsidRPr="005C0FA7" w:rsidRDefault="006829E5" w:rsidP="00314016">
      <w:pPr>
        <w:jc w:val="both"/>
        <w:rPr>
          <w:b/>
          <w:u w:val="single"/>
        </w:rPr>
      </w:pPr>
    </w:p>
    <w:p w14:paraId="572E1818" w14:textId="274B3819" w:rsidR="00314016" w:rsidRPr="005C0FA7" w:rsidRDefault="00DC235F" w:rsidP="00314016">
      <w:pPr>
        <w:jc w:val="both"/>
        <w:rPr>
          <w:b/>
        </w:rPr>
      </w:pPr>
      <w:r>
        <w:rPr>
          <w:b/>
        </w:rPr>
        <w:t>4.</w:t>
      </w:r>
      <w:r w:rsidR="00A64BCA" w:rsidRPr="005C0FA7">
        <w:rPr>
          <w:b/>
        </w:rPr>
        <w:t>2</w:t>
      </w:r>
      <w:r w:rsidR="00A64BCA" w:rsidRPr="00EE5DC2">
        <w:rPr>
          <w:b/>
        </w:rPr>
        <w:t xml:space="preserve"> </w:t>
      </w:r>
      <w:r w:rsidR="00DC246B" w:rsidRPr="00EE5DC2">
        <w:t>Girar instrucciones y dar seguimiento a las instancias que corresponden, a fin de que se realice</w:t>
      </w:r>
      <w:r w:rsidR="00DC246B" w:rsidRPr="00EE5DC2">
        <w:rPr>
          <w:b/>
        </w:rPr>
        <w:t xml:space="preserve"> </w:t>
      </w:r>
      <w:r w:rsidR="00314016" w:rsidRPr="00EE5DC2">
        <w:t>un diagnóstico a nivel normativo de las diferentes unidades ejecu</w:t>
      </w:r>
      <w:r w:rsidR="00DC246B" w:rsidRPr="00EE5DC2">
        <w:t>toras en materia presupuestaria</w:t>
      </w:r>
      <w:r w:rsidR="00314016" w:rsidRPr="00EE5DC2">
        <w:t xml:space="preserve"> que s</w:t>
      </w:r>
      <w:r w:rsidR="00DC246B" w:rsidRPr="00EE5DC2">
        <w:t xml:space="preserve">on </w:t>
      </w:r>
      <w:r w:rsidR="00314016" w:rsidRPr="00EE5DC2">
        <w:t>responsables de girar transferencias</w:t>
      </w:r>
      <w:r w:rsidR="00283F42" w:rsidRPr="00EE5DC2">
        <w:t>;</w:t>
      </w:r>
      <w:r w:rsidR="00314016" w:rsidRPr="00EE5DC2">
        <w:t xml:space="preserve"> a fin de diseñar, divulgar e implementar</w:t>
      </w:r>
      <w:r w:rsidR="00DC246B" w:rsidRPr="00EE5DC2">
        <w:t xml:space="preserve"> normativa</w:t>
      </w:r>
      <w:r w:rsidR="00D40A61" w:rsidRPr="00EE5DC2">
        <w:t>s</w:t>
      </w:r>
      <w:r w:rsidR="00DC246B" w:rsidRPr="00EE5DC2">
        <w:t xml:space="preserve"> específica</w:t>
      </w:r>
      <w:r w:rsidR="00D40A61" w:rsidRPr="00EE5DC2">
        <w:t>s</w:t>
      </w:r>
      <w:r w:rsidR="00DC246B" w:rsidRPr="00EE5DC2">
        <w:t xml:space="preserve"> a nivel ministerial para el control de los recursos públicos, sean estos con destino a reinvertirse como para aquellos que se custodi</w:t>
      </w:r>
      <w:r w:rsidR="00D40A61" w:rsidRPr="00EE5DC2">
        <w:t>en bajo la tutela del Ministerio de Hacienda.</w:t>
      </w:r>
      <w:r w:rsidR="00314016" w:rsidRPr="00EE5DC2">
        <w:t xml:space="preserve"> </w:t>
      </w:r>
      <w:r w:rsidR="00314016" w:rsidRPr="005C0FA7">
        <w:rPr>
          <w:b/>
        </w:rPr>
        <w:t>(Ver comentario 2.1) (Plazo máximo 6 meses)</w:t>
      </w:r>
    </w:p>
    <w:p w14:paraId="1E5F3367" w14:textId="77777777" w:rsidR="00314016" w:rsidRPr="005C0FA7" w:rsidRDefault="00314016" w:rsidP="00314016">
      <w:pPr>
        <w:jc w:val="both"/>
      </w:pPr>
    </w:p>
    <w:p w14:paraId="4543B25C" w14:textId="47905084" w:rsidR="00314016" w:rsidRPr="00546EB1" w:rsidRDefault="00DC235F" w:rsidP="00314016">
      <w:pPr>
        <w:jc w:val="both"/>
      </w:pPr>
      <w:r>
        <w:rPr>
          <w:b/>
        </w:rPr>
        <w:t>4.</w:t>
      </w:r>
      <w:r w:rsidR="00A64BCA" w:rsidRPr="005C0FA7">
        <w:rPr>
          <w:b/>
        </w:rPr>
        <w:t>3</w:t>
      </w:r>
      <w:r w:rsidR="00EE5DC2">
        <w:t xml:space="preserve"> </w:t>
      </w:r>
      <w:r w:rsidR="00314016" w:rsidRPr="005C0FA7">
        <w:t xml:space="preserve">Coordinar con la Dirección Financiera, con el fin de contar con el apoyo y criterio de dicha Instancia para el establecimiento del procedimiento </w:t>
      </w:r>
      <w:r w:rsidR="00314016" w:rsidRPr="00546EB1">
        <w:t xml:space="preserve">respectivo. </w:t>
      </w:r>
      <w:r w:rsidR="00314016" w:rsidRPr="00546EB1">
        <w:rPr>
          <w:b/>
        </w:rPr>
        <w:t>(Ver comentario 2.1) (</w:t>
      </w:r>
      <w:r w:rsidR="0051730B" w:rsidRPr="00546EB1">
        <w:rPr>
          <w:b/>
        </w:rPr>
        <w:t>Aplicación inmediata</w:t>
      </w:r>
      <w:r w:rsidR="00314016" w:rsidRPr="00546EB1">
        <w:rPr>
          <w:b/>
        </w:rPr>
        <w:t>)</w:t>
      </w:r>
    </w:p>
    <w:p w14:paraId="511E5940" w14:textId="77777777" w:rsidR="0051730B" w:rsidRPr="00546EB1" w:rsidRDefault="0051730B" w:rsidP="00314016">
      <w:pPr>
        <w:jc w:val="both"/>
        <w:rPr>
          <w:b/>
        </w:rPr>
      </w:pPr>
    </w:p>
    <w:p w14:paraId="1452C053" w14:textId="28E0DF04" w:rsidR="009660D2" w:rsidRPr="002D5CF0" w:rsidRDefault="00DC235F" w:rsidP="00C6042A">
      <w:pPr>
        <w:pStyle w:val="Default"/>
        <w:jc w:val="both"/>
        <w:rPr>
          <w:rFonts w:ascii="Times New Roman" w:eastAsia="Times New Roman" w:hAnsi="Times New Roman" w:cs="Times New Roman"/>
          <w:color w:val="auto"/>
          <w:lang w:val="es-ES" w:eastAsia="ar-SA"/>
        </w:rPr>
      </w:pPr>
      <w:r>
        <w:rPr>
          <w:rFonts w:ascii="Times New Roman" w:eastAsia="Times New Roman" w:hAnsi="Times New Roman" w:cs="Times New Roman"/>
          <w:b/>
          <w:color w:val="auto"/>
          <w:lang w:val="es-ES" w:eastAsia="ar-SA"/>
        </w:rPr>
        <w:t>4.</w:t>
      </w:r>
      <w:r w:rsidR="00A64BCA">
        <w:rPr>
          <w:rFonts w:ascii="Times New Roman" w:eastAsia="Times New Roman" w:hAnsi="Times New Roman" w:cs="Times New Roman"/>
          <w:b/>
          <w:color w:val="auto"/>
          <w:lang w:val="es-ES" w:eastAsia="ar-SA"/>
        </w:rPr>
        <w:t>4</w:t>
      </w:r>
      <w:r w:rsidR="00EE5DC2">
        <w:rPr>
          <w:rFonts w:ascii="Times New Roman" w:eastAsia="Times New Roman" w:hAnsi="Times New Roman" w:cs="Times New Roman"/>
          <w:b/>
          <w:color w:val="auto"/>
          <w:lang w:val="es-ES" w:eastAsia="ar-SA"/>
        </w:rPr>
        <w:t xml:space="preserve"> </w:t>
      </w:r>
      <w:r w:rsidR="00B6673D" w:rsidRPr="002D5CF0">
        <w:rPr>
          <w:rFonts w:ascii="Times New Roman" w:eastAsia="Times New Roman" w:hAnsi="Times New Roman" w:cs="Times New Roman"/>
          <w:color w:val="auto"/>
          <w:lang w:val="es-ES" w:eastAsia="ar-SA"/>
        </w:rPr>
        <w:t xml:space="preserve">Conformar un equipo de trabajo a fin de evaluar y establecer el campo de acción de cada una de las instancias que están involucradas con los fondos provenientes de la Dirección Programas de Equidad. </w:t>
      </w:r>
    </w:p>
    <w:p w14:paraId="45A8DBFC" w14:textId="77777777" w:rsidR="009660D2" w:rsidRPr="002D5CF0" w:rsidRDefault="009660D2" w:rsidP="00C6042A">
      <w:pPr>
        <w:pStyle w:val="Default"/>
        <w:jc w:val="both"/>
        <w:rPr>
          <w:rFonts w:ascii="Times New Roman" w:eastAsia="Times New Roman" w:hAnsi="Times New Roman" w:cs="Times New Roman"/>
          <w:color w:val="auto"/>
          <w:lang w:val="es-ES" w:eastAsia="ar-SA"/>
        </w:rPr>
      </w:pPr>
    </w:p>
    <w:p w14:paraId="7A0C3659" w14:textId="77777777" w:rsidR="00B6673D" w:rsidRPr="005C0FA7" w:rsidRDefault="00B6673D" w:rsidP="009660D2">
      <w:pPr>
        <w:pStyle w:val="Default"/>
        <w:jc w:val="both"/>
        <w:rPr>
          <w:rFonts w:ascii="Times New Roman" w:hAnsi="Times New Roman" w:cs="Times New Roman"/>
          <w:color w:val="auto"/>
        </w:rPr>
      </w:pPr>
      <w:r w:rsidRPr="002D5CF0">
        <w:rPr>
          <w:rFonts w:ascii="Times New Roman" w:eastAsia="Times New Roman" w:hAnsi="Times New Roman" w:cs="Times New Roman"/>
          <w:color w:val="auto"/>
          <w:lang w:val="es-ES" w:eastAsia="ar-SA"/>
        </w:rPr>
        <w:t xml:space="preserve">Dicho </w:t>
      </w:r>
      <w:r w:rsidR="009660D2" w:rsidRPr="002D5CF0">
        <w:rPr>
          <w:rFonts w:ascii="Times New Roman" w:eastAsia="Times New Roman" w:hAnsi="Times New Roman" w:cs="Times New Roman"/>
          <w:color w:val="auto"/>
          <w:lang w:val="es-ES" w:eastAsia="ar-SA"/>
        </w:rPr>
        <w:t xml:space="preserve">equipo de trabajo deberá </w:t>
      </w:r>
      <w:r w:rsidRPr="002D5CF0">
        <w:rPr>
          <w:rFonts w:ascii="Times New Roman" w:eastAsia="Times New Roman" w:hAnsi="Times New Roman" w:cs="Times New Roman"/>
          <w:color w:val="auto"/>
          <w:lang w:val="es-ES" w:eastAsia="ar-SA"/>
        </w:rPr>
        <w:t>contemplar los procesos de administración, información, control</w:t>
      </w:r>
      <w:r w:rsidR="009660D2" w:rsidRPr="002D5CF0">
        <w:rPr>
          <w:rFonts w:ascii="Times New Roman" w:eastAsia="Times New Roman" w:hAnsi="Times New Roman" w:cs="Times New Roman"/>
          <w:color w:val="auto"/>
          <w:lang w:val="es-ES" w:eastAsia="ar-SA"/>
        </w:rPr>
        <w:t>,</w:t>
      </w:r>
      <w:r w:rsidRPr="002D5CF0">
        <w:rPr>
          <w:rFonts w:ascii="Times New Roman" w:eastAsia="Times New Roman" w:hAnsi="Times New Roman" w:cs="Times New Roman"/>
          <w:color w:val="auto"/>
          <w:lang w:val="es-ES" w:eastAsia="ar-SA"/>
        </w:rPr>
        <w:t xml:space="preserve"> supervisión</w:t>
      </w:r>
      <w:r w:rsidR="009660D2" w:rsidRPr="002D5CF0">
        <w:rPr>
          <w:rFonts w:ascii="Times New Roman" w:hAnsi="Times New Roman" w:cs="Times New Roman"/>
          <w:color w:val="auto"/>
          <w:sz w:val="22"/>
          <w:szCs w:val="22"/>
        </w:rPr>
        <w:t xml:space="preserve"> y </w:t>
      </w:r>
      <w:r w:rsidR="009660D2" w:rsidRPr="002D5CF0">
        <w:rPr>
          <w:rFonts w:ascii="Times New Roman" w:hAnsi="Times New Roman" w:cs="Times New Roman"/>
          <w:color w:val="auto"/>
        </w:rPr>
        <w:t>e</w:t>
      </w:r>
      <w:r w:rsidRPr="002D5CF0">
        <w:rPr>
          <w:rFonts w:ascii="Times New Roman" w:hAnsi="Times New Roman" w:cs="Times New Roman"/>
          <w:color w:val="auto"/>
        </w:rPr>
        <w:t xml:space="preserve">valuar los instrumentos que se mantienen diseñados en la solicitud de información a las Juntas de Educación y Juntas Administrativas, con el fin de establecer e </w:t>
      </w:r>
      <w:r w:rsidRPr="005C0FA7">
        <w:rPr>
          <w:rFonts w:ascii="Times New Roman" w:hAnsi="Times New Roman" w:cs="Times New Roman"/>
          <w:color w:val="auto"/>
        </w:rPr>
        <w:t>implementar institucionalmente un formato único, claro y estandarizado en la emisión de informes. (Ver comentario 2.2) (Plazo máximo 3 meses)</w:t>
      </w:r>
      <w:r w:rsidR="00006E24" w:rsidRPr="005C0FA7">
        <w:rPr>
          <w:rFonts w:ascii="Times New Roman" w:hAnsi="Times New Roman" w:cs="Times New Roman"/>
          <w:color w:val="auto"/>
        </w:rPr>
        <w:t>. Esta recomendación se encuentra en concordancia con la recomendación 4.6 del informe DFOE-SOC-IF-00026-2018 del 21 de diciembre, 2018 de la CGRP.</w:t>
      </w:r>
    </w:p>
    <w:p w14:paraId="418DF270" w14:textId="77777777" w:rsidR="00C62EE6" w:rsidRPr="005C0FA7" w:rsidRDefault="00C62EE6" w:rsidP="00314016">
      <w:pPr>
        <w:jc w:val="both"/>
        <w:rPr>
          <w:b/>
        </w:rPr>
      </w:pPr>
    </w:p>
    <w:p w14:paraId="7D9A8122" w14:textId="77777777" w:rsidR="00B95AF6" w:rsidRPr="005C0FA7" w:rsidRDefault="00B95AF6" w:rsidP="00314016">
      <w:pPr>
        <w:jc w:val="both"/>
        <w:rPr>
          <w:b/>
          <w:bCs/>
        </w:rPr>
      </w:pPr>
      <w:r w:rsidRPr="005C0FA7">
        <w:rPr>
          <w:b/>
          <w:bCs/>
        </w:rPr>
        <w:t>A la Dirección Programas de Equidad</w:t>
      </w:r>
    </w:p>
    <w:p w14:paraId="2B58FC60" w14:textId="77777777" w:rsidR="007658F6" w:rsidRPr="005C0FA7" w:rsidRDefault="007658F6" w:rsidP="00314016">
      <w:pPr>
        <w:jc w:val="both"/>
        <w:rPr>
          <w:b/>
          <w:bCs/>
          <w:u w:val="single"/>
        </w:rPr>
      </w:pPr>
    </w:p>
    <w:p w14:paraId="0FD6AEA4" w14:textId="67738423" w:rsidR="00B95AF6" w:rsidRPr="005C0FA7" w:rsidRDefault="00DC235F" w:rsidP="00B95AF6">
      <w:pPr>
        <w:jc w:val="both"/>
      </w:pPr>
      <w:r>
        <w:rPr>
          <w:b/>
        </w:rPr>
        <w:t>4.</w:t>
      </w:r>
      <w:r w:rsidR="00B919E9" w:rsidRPr="005C0FA7">
        <w:rPr>
          <w:b/>
        </w:rPr>
        <w:t>5</w:t>
      </w:r>
      <w:r w:rsidR="009A11A0" w:rsidRPr="005C0FA7">
        <w:rPr>
          <w:b/>
        </w:rPr>
        <w:t xml:space="preserve"> </w:t>
      </w:r>
      <w:r w:rsidR="00B95AF6" w:rsidRPr="005C0FA7">
        <w:t>Proceder en lo sucesivo en realizar un diagnóstico a nivel institucional con el fin de evaluar</w:t>
      </w:r>
      <w:r w:rsidR="008E54B5" w:rsidRPr="005C0FA7">
        <w:t xml:space="preserve"> </w:t>
      </w:r>
      <w:r w:rsidR="00B95AF6" w:rsidRPr="005C0FA7">
        <w:t xml:space="preserve">los resultados obtenidos en la implementación de los nuevos menús y remitir </w:t>
      </w:r>
      <w:r w:rsidR="00823913" w:rsidRPr="005C0FA7">
        <w:t xml:space="preserve">un informe detallado de lo encontrado </w:t>
      </w:r>
      <w:r w:rsidR="00823913" w:rsidRPr="00546EB1">
        <w:t xml:space="preserve">a esta Auditoria Interna. </w:t>
      </w:r>
      <w:r w:rsidR="00823913" w:rsidRPr="00546EB1">
        <w:rPr>
          <w:b/>
        </w:rPr>
        <w:t>(Ver comentario 2.</w:t>
      </w:r>
      <w:r w:rsidR="00B108EF" w:rsidRPr="00546EB1">
        <w:rPr>
          <w:b/>
        </w:rPr>
        <w:t>7</w:t>
      </w:r>
      <w:r w:rsidR="00823913" w:rsidRPr="00546EB1">
        <w:rPr>
          <w:b/>
        </w:rPr>
        <w:t xml:space="preserve">) (Plazo máximo 2 </w:t>
      </w:r>
      <w:r w:rsidR="00823913" w:rsidRPr="005C0FA7">
        <w:rPr>
          <w:b/>
        </w:rPr>
        <w:t>meses)</w:t>
      </w:r>
      <w:r w:rsidR="002C53C8" w:rsidRPr="005C0FA7">
        <w:rPr>
          <w:b/>
        </w:rPr>
        <w:t xml:space="preserve">. </w:t>
      </w:r>
      <w:r w:rsidR="008E0000" w:rsidRPr="005C0FA7">
        <w:t>Esta recomendación se encuentra en concordancia con la</w:t>
      </w:r>
      <w:r w:rsidR="00E53031" w:rsidRPr="005C0FA7">
        <w:t>s</w:t>
      </w:r>
      <w:r w:rsidR="008E0000" w:rsidRPr="005C0FA7">
        <w:t xml:space="preserve"> recomendaci</w:t>
      </w:r>
      <w:r w:rsidR="00E53031" w:rsidRPr="005C0FA7">
        <w:t>ones:</w:t>
      </w:r>
      <w:r w:rsidR="008E0000" w:rsidRPr="005C0FA7">
        <w:t xml:space="preserve"> 4.9</w:t>
      </w:r>
      <w:r w:rsidR="00E53031" w:rsidRPr="005C0FA7">
        <w:t>, 4.12 y 4.13</w:t>
      </w:r>
      <w:r w:rsidR="008E0000" w:rsidRPr="005C0FA7">
        <w:t xml:space="preserve"> del informe DFOE-SOC-IF-00026-2018 del 21 de diciembre, 2018 de la CGRP.</w:t>
      </w:r>
    </w:p>
    <w:p w14:paraId="39F69329" w14:textId="77777777" w:rsidR="00B95AF6" w:rsidRPr="005C0FA7" w:rsidRDefault="00B95AF6" w:rsidP="00314016">
      <w:pPr>
        <w:jc w:val="both"/>
        <w:rPr>
          <w:b/>
        </w:rPr>
      </w:pPr>
    </w:p>
    <w:tbl>
      <w:tblPr>
        <w:tblW w:w="18078" w:type="dxa"/>
        <w:tblInd w:w="-108" w:type="dxa"/>
        <w:tblBorders>
          <w:top w:val="nil"/>
          <w:left w:val="nil"/>
          <w:bottom w:val="nil"/>
          <w:right w:val="nil"/>
        </w:tblBorders>
        <w:tblLayout w:type="fixed"/>
        <w:tblLook w:val="0000" w:firstRow="0" w:lastRow="0" w:firstColumn="0" w:lastColumn="0" w:noHBand="0" w:noVBand="0"/>
      </w:tblPr>
      <w:tblGrid>
        <w:gridCol w:w="9039"/>
        <w:gridCol w:w="9039"/>
      </w:tblGrid>
      <w:tr w:rsidR="005C0FA7" w:rsidRPr="005C0FA7" w14:paraId="3AF9370F" w14:textId="77777777" w:rsidTr="00A64BCA">
        <w:trPr>
          <w:trHeight w:val="858"/>
        </w:trPr>
        <w:tc>
          <w:tcPr>
            <w:tcW w:w="9039" w:type="dxa"/>
          </w:tcPr>
          <w:p w14:paraId="43784D9B" w14:textId="363DD45E" w:rsidR="00163E69" w:rsidRPr="005C0FA7" w:rsidRDefault="00971373" w:rsidP="00A64BCA">
            <w:pPr>
              <w:suppressAutoHyphens w:val="0"/>
              <w:autoSpaceDE w:val="0"/>
              <w:autoSpaceDN w:val="0"/>
              <w:adjustRightInd w:val="0"/>
              <w:jc w:val="both"/>
              <w:rPr>
                <w:b/>
              </w:rPr>
            </w:pPr>
            <w:r>
              <w:rPr>
                <w:rFonts w:eastAsiaTheme="minorHAnsi"/>
                <w:b/>
                <w:lang w:val="es-CR" w:eastAsia="en-US"/>
              </w:rPr>
              <w:t>4.</w:t>
            </w:r>
            <w:r w:rsidR="00472786" w:rsidRPr="005C0FA7">
              <w:rPr>
                <w:rFonts w:eastAsiaTheme="minorHAnsi"/>
                <w:b/>
                <w:lang w:val="es-CR" w:eastAsia="en-US"/>
              </w:rPr>
              <w:t>6</w:t>
            </w:r>
            <w:r w:rsidR="00EE5DC2">
              <w:rPr>
                <w:rFonts w:eastAsiaTheme="minorHAnsi"/>
                <w:b/>
                <w:lang w:val="es-CR" w:eastAsia="en-US"/>
              </w:rPr>
              <w:t xml:space="preserve"> </w:t>
            </w:r>
            <w:r w:rsidR="00163E69" w:rsidRPr="005C0FA7">
              <w:rPr>
                <w:rFonts w:eastAsiaTheme="minorHAnsi"/>
                <w:lang w:val="es-CR" w:eastAsia="en-US"/>
              </w:rPr>
              <w:t xml:space="preserve">Incorporar a futuro en los expedientes de contratación las minutas respectivas, de manera tal, que las decisiones que se tomen en las sesiones de trabajo, referencien los acuerdos anteriores y se mantenga un orden numérico y lógico de los acuerdos, máxime cuando pertenezcan a entregas parciales de bienes o servicios, de modo que dichos documentos sirvan de respaldo para la recepción definitiva del bien o producto. </w:t>
            </w:r>
            <w:r w:rsidR="00163E69" w:rsidRPr="005C0FA7">
              <w:rPr>
                <w:b/>
              </w:rPr>
              <w:t>(Ver comentario 2.</w:t>
            </w:r>
            <w:r w:rsidR="00B108EF" w:rsidRPr="005C0FA7">
              <w:rPr>
                <w:b/>
              </w:rPr>
              <w:t>7</w:t>
            </w:r>
            <w:r w:rsidR="00163E69" w:rsidRPr="005C0FA7">
              <w:rPr>
                <w:b/>
              </w:rPr>
              <w:t>.2) (Aplicación inmediata)</w:t>
            </w:r>
          </w:p>
          <w:p w14:paraId="7946189C" w14:textId="77777777" w:rsidR="001558AE" w:rsidRPr="005C0FA7" w:rsidRDefault="001558AE" w:rsidP="00A64BCA">
            <w:pPr>
              <w:suppressAutoHyphens w:val="0"/>
              <w:autoSpaceDE w:val="0"/>
              <w:autoSpaceDN w:val="0"/>
              <w:adjustRightInd w:val="0"/>
              <w:jc w:val="both"/>
              <w:rPr>
                <w:rFonts w:eastAsiaTheme="minorHAnsi"/>
                <w:lang w:val="es-CR" w:eastAsia="en-US"/>
              </w:rPr>
            </w:pPr>
          </w:p>
        </w:tc>
        <w:tc>
          <w:tcPr>
            <w:tcW w:w="9039" w:type="dxa"/>
          </w:tcPr>
          <w:p w14:paraId="112B08B1" w14:textId="77777777" w:rsidR="00163E69" w:rsidRPr="005C0FA7" w:rsidRDefault="00163E69" w:rsidP="00C22BA3">
            <w:pPr>
              <w:suppressAutoHyphens w:val="0"/>
              <w:autoSpaceDE w:val="0"/>
              <w:autoSpaceDN w:val="0"/>
              <w:adjustRightInd w:val="0"/>
              <w:jc w:val="both"/>
              <w:rPr>
                <w:rFonts w:eastAsiaTheme="minorHAnsi"/>
                <w:b/>
                <w:lang w:val="es-CR" w:eastAsia="en-US"/>
              </w:rPr>
            </w:pPr>
          </w:p>
        </w:tc>
      </w:tr>
      <w:tr w:rsidR="005C0FA7" w:rsidRPr="005C0FA7" w14:paraId="7DF67611" w14:textId="77777777" w:rsidTr="00A64BCA">
        <w:trPr>
          <w:gridAfter w:val="1"/>
          <w:wAfter w:w="9039" w:type="dxa"/>
          <w:trHeight w:val="732"/>
        </w:trPr>
        <w:tc>
          <w:tcPr>
            <w:tcW w:w="9039" w:type="dxa"/>
          </w:tcPr>
          <w:p w14:paraId="05C1FC3D" w14:textId="211C25EC" w:rsidR="00C971B6" w:rsidRPr="005C0FA7" w:rsidRDefault="00971373" w:rsidP="00A64BCA">
            <w:pPr>
              <w:suppressAutoHyphens w:val="0"/>
              <w:autoSpaceDE w:val="0"/>
              <w:autoSpaceDN w:val="0"/>
              <w:adjustRightInd w:val="0"/>
              <w:jc w:val="both"/>
              <w:rPr>
                <w:rFonts w:eastAsiaTheme="minorHAnsi"/>
                <w:sz w:val="22"/>
                <w:szCs w:val="22"/>
                <w:lang w:val="es-CR" w:eastAsia="en-US"/>
              </w:rPr>
            </w:pPr>
            <w:r>
              <w:rPr>
                <w:b/>
              </w:rPr>
              <w:t>4.</w:t>
            </w:r>
            <w:r w:rsidR="00472786" w:rsidRPr="005C0FA7">
              <w:rPr>
                <w:b/>
              </w:rPr>
              <w:t>7</w:t>
            </w:r>
            <w:r w:rsidR="00EE5DC2">
              <w:rPr>
                <w:b/>
              </w:rPr>
              <w:t xml:space="preserve"> </w:t>
            </w:r>
            <w:r w:rsidR="00C971B6" w:rsidRPr="005C0FA7">
              <w:rPr>
                <w:rFonts w:eastAsiaTheme="minorHAnsi"/>
                <w:lang w:val="es-CR" w:eastAsia="en-US"/>
              </w:rPr>
              <w:t>Conformar los expedientes de contratación, de acuerdo a los lineamientos que dicta el marco legal pertinente y a los principios administrativos, de manera tal, que permita un manejo consistente en cuanto a simplificación, orden, conservación y registro de la documentación pertinente. (</w:t>
            </w:r>
            <w:r w:rsidR="00C971B6" w:rsidRPr="005C0FA7">
              <w:rPr>
                <w:b/>
              </w:rPr>
              <w:t>Ver comentario 2.</w:t>
            </w:r>
            <w:r w:rsidR="00472786" w:rsidRPr="005C0FA7">
              <w:rPr>
                <w:b/>
              </w:rPr>
              <w:t>7</w:t>
            </w:r>
            <w:r w:rsidR="00C971B6" w:rsidRPr="005C0FA7">
              <w:rPr>
                <w:b/>
              </w:rPr>
              <w:t>.3)</w:t>
            </w:r>
            <w:r w:rsidR="00471BC6" w:rsidRPr="005C0FA7">
              <w:rPr>
                <w:b/>
              </w:rPr>
              <w:t xml:space="preserve"> </w:t>
            </w:r>
            <w:r w:rsidR="00C971B6" w:rsidRPr="005C0FA7">
              <w:rPr>
                <w:b/>
              </w:rPr>
              <w:t>(</w:t>
            </w:r>
            <w:r w:rsidR="00C971B6" w:rsidRPr="005C0FA7">
              <w:rPr>
                <w:rFonts w:eastAsiaTheme="minorHAnsi"/>
                <w:b/>
                <w:lang w:val="es-CR" w:eastAsia="en-US"/>
              </w:rPr>
              <w:t>Aplicación inmediata)</w:t>
            </w:r>
            <w:r w:rsidR="00C971B6" w:rsidRPr="005C0FA7">
              <w:rPr>
                <w:rFonts w:eastAsiaTheme="minorHAnsi"/>
                <w:i/>
                <w:iCs/>
                <w:sz w:val="22"/>
                <w:szCs w:val="22"/>
                <w:lang w:val="es-CR" w:eastAsia="en-US"/>
              </w:rPr>
              <w:t xml:space="preserve"> </w:t>
            </w:r>
          </w:p>
        </w:tc>
      </w:tr>
    </w:tbl>
    <w:p w14:paraId="731C5612" w14:textId="77777777" w:rsidR="0002455C" w:rsidRPr="005C0FA7" w:rsidRDefault="0002455C" w:rsidP="00314016">
      <w:pPr>
        <w:jc w:val="both"/>
        <w:rPr>
          <w:b/>
        </w:rPr>
      </w:pPr>
    </w:p>
    <w:p w14:paraId="211EDFF6" w14:textId="2DBB6AB8" w:rsidR="001B2C35" w:rsidRPr="005C0FA7" w:rsidRDefault="00971373" w:rsidP="001B2C35">
      <w:pPr>
        <w:suppressAutoHyphens w:val="0"/>
        <w:autoSpaceDE w:val="0"/>
        <w:autoSpaceDN w:val="0"/>
        <w:adjustRightInd w:val="0"/>
        <w:jc w:val="both"/>
        <w:rPr>
          <w:rFonts w:eastAsiaTheme="minorHAnsi"/>
          <w:lang w:val="es-CR" w:eastAsia="en-US"/>
        </w:rPr>
      </w:pPr>
      <w:r>
        <w:rPr>
          <w:rFonts w:eastAsiaTheme="minorHAnsi"/>
          <w:b/>
          <w:lang w:val="es-CR" w:eastAsia="en-US"/>
        </w:rPr>
        <w:lastRenderedPageBreak/>
        <w:t>4.</w:t>
      </w:r>
      <w:r w:rsidR="00472786" w:rsidRPr="005C0FA7">
        <w:rPr>
          <w:rFonts w:eastAsiaTheme="minorHAnsi"/>
          <w:b/>
          <w:lang w:val="es-CR" w:eastAsia="en-US"/>
        </w:rPr>
        <w:t>8</w:t>
      </w:r>
      <w:r w:rsidR="00EE5DC2">
        <w:rPr>
          <w:rFonts w:eastAsiaTheme="minorHAnsi"/>
          <w:b/>
          <w:lang w:val="es-CR" w:eastAsia="en-US"/>
        </w:rPr>
        <w:t xml:space="preserve"> </w:t>
      </w:r>
      <w:r w:rsidR="001B2C35" w:rsidRPr="005C0FA7">
        <w:rPr>
          <w:rFonts w:eastAsiaTheme="minorHAnsi"/>
          <w:lang w:val="es-CR" w:eastAsia="en-US"/>
        </w:rPr>
        <w:t xml:space="preserve">Implementar los procedimientos y controles necesarios que permitan procesar, analizar, verificar y evaluar la información recibida, principalmente a lo relacionado con los reintegros de dinero a la Caja Única del Estado por parte </w:t>
      </w:r>
      <w:r w:rsidR="001B2C35" w:rsidRPr="00546EB1">
        <w:rPr>
          <w:rFonts w:eastAsiaTheme="minorHAnsi"/>
          <w:color w:val="000000"/>
          <w:lang w:val="es-CR" w:eastAsia="en-US"/>
        </w:rPr>
        <w:t xml:space="preserve">de las Juntas de Educación y Juntas </w:t>
      </w:r>
      <w:r w:rsidR="001B2C35" w:rsidRPr="005C0FA7">
        <w:rPr>
          <w:rFonts w:eastAsiaTheme="minorHAnsi"/>
          <w:lang w:val="es-CR" w:eastAsia="en-US"/>
        </w:rPr>
        <w:t xml:space="preserve">Administrativas. </w:t>
      </w:r>
      <w:r w:rsidR="00E03146" w:rsidRPr="005C0FA7">
        <w:rPr>
          <w:rFonts w:eastAsiaTheme="minorHAnsi"/>
          <w:lang w:val="es-CR" w:eastAsia="en-US"/>
        </w:rPr>
        <w:t>(</w:t>
      </w:r>
      <w:r w:rsidR="00E03146" w:rsidRPr="005C0FA7">
        <w:rPr>
          <w:b/>
        </w:rPr>
        <w:t>Ver comentario 2.</w:t>
      </w:r>
      <w:r w:rsidR="004C0902" w:rsidRPr="005C0FA7">
        <w:rPr>
          <w:b/>
        </w:rPr>
        <w:t>3</w:t>
      </w:r>
      <w:r w:rsidR="00A6131D" w:rsidRPr="005C0FA7">
        <w:rPr>
          <w:b/>
        </w:rPr>
        <w:t>)</w:t>
      </w:r>
      <w:r w:rsidR="00471BC6" w:rsidRPr="005C0FA7">
        <w:rPr>
          <w:b/>
        </w:rPr>
        <w:t xml:space="preserve"> </w:t>
      </w:r>
      <w:r w:rsidR="00E03146" w:rsidRPr="005C0FA7">
        <w:rPr>
          <w:b/>
        </w:rPr>
        <w:t>(</w:t>
      </w:r>
      <w:r w:rsidR="000B6C30" w:rsidRPr="005C0FA7">
        <w:rPr>
          <w:b/>
        </w:rPr>
        <w:t>Aplicación inmediata</w:t>
      </w:r>
      <w:r w:rsidR="00E03146" w:rsidRPr="005C0FA7">
        <w:rPr>
          <w:rFonts w:eastAsiaTheme="minorHAnsi"/>
          <w:b/>
          <w:lang w:val="es-CR" w:eastAsia="en-US"/>
        </w:rPr>
        <w:t>)</w:t>
      </w:r>
      <w:r w:rsidR="0077325B" w:rsidRPr="005C0FA7">
        <w:rPr>
          <w:rFonts w:eastAsiaTheme="minorHAnsi"/>
          <w:b/>
          <w:lang w:val="es-CR" w:eastAsia="en-US"/>
        </w:rPr>
        <w:t>.</w:t>
      </w:r>
      <w:r w:rsidR="008E0000" w:rsidRPr="005C0FA7">
        <w:rPr>
          <w:rFonts w:eastAsiaTheme="minorHAnsi"/>
          <w:b/>
          <w:lang w:val="es-CR" w:eastAsia="en-US"/>
        </w:rPr>
        <w:t xml:space="preserve"> </w:t>
      </w:r>
      <w:r w:rsidR="008E0000" w:rsidRPr="005C0FA7">
        <w:t>Esta recomendación se encuentra en concordancia con la recomendación 4.9 del informe DFOE-SOC-IF-00026-2018 del 21 de diciembre, 2018 de la CGRP.</w:t>
      </w:r>
    </w:p>
    <w:p w14:paraId="388297BD" w14:textId="77777777" w:rsidR="0002455C" w:rsidRPr="005C0FA7" w:rsidRDefault="0002455C" w:rsidP="00314016">
      <w:pPr>
        <w:jc w:val="both"/>
        <w:rPr>
          <w:b/>
        </w:rPr>
      </w:pPr>
    </w:p>
    <w:p w14:paraId="0504106B" w14:textId="3DD5878E" w:rsidR="0002455C" w:rsidRPr="005C0FA7" w:rsidRDefault="00971373" w:rsidP="00A64BCA">
      <w:pPr>
        <w:tabs>
          <w:tab w:val="left" w:pos="142"/>
        </w:tabs>
        <w:suppressAutoHyphens w:val="0"/>
        <w:autoSpaceDE w:val="0"/>
        <w:autoSpaceDN w:val="0"/>
        <w:adjustRightInd w:val="0"/>
        <w:jc w:val="both"/>
        <w:rPr>
          <w:rFonts w:eastAsiaTheme="minorHAnsi"/>
          <w:b/>
          <w:lang w:val="es-CR" w:eastAsia="en-US"/>
        </w:rPr>
      </w:pPr>
      <w:r>
        <w:rPr>
          <w:rFonts w:eastAsiaTheme="minorHAnsi"/>
          <w:b/>
          <w:lang w:val="es-CR" w:eastAsia="en-US"/>
        </w:rPr>
        <w:t>4.</w:t>
      </w:r>
      <w:r w:rsidR="00472786" w:rsidRPr="005C0FA7">
        <w:rPr>
          <w:rFonts w:eastAsiaTheme="minorHAnsi"/>
          <w:b/>
          <w:lang w:val="es-CR" w:eastAsia="en-US"/>
        </w:rPr>
        <w:t>9</w:t>
      </w:r>
      <w:r w:rsidR="00EE5DC2">
        <w:rPr>
          <w:rFonts w:eastAsiaTheme="minorHAnsi"/>
          <w:b/>
          <w:lang w:val="es-CR" w:eastAsia="en-US"/>
        </w:rPr>
        <w:t xml:space="preserve"> </w:t>
      </w:r>
      <w:r w:rsidR="00097239" w:rsidRPr="005C0FA7">
        <w:rPr>
          <w:rFonts w:eastAsiaTheme="minorHAnsi"/>
          <w:lang w:val="es-CR" w:eastAsia="en-US"/>
        </w:rPr>
        <w:t>Establecer</w:t>
      </w:r>
      <w:r w:rsidR="002A619F" w:rsidRPr="005C0FA7">
        <w:rPr>
          <w:rFonts w:eastAsiaTheme="minorHAnsi"/>
          <w:lang w:val="es-CR" w:eastAsia="en-US"/>
        </w:rPr>
        <w:t xml:space="preserve"> medidas de control que permitan monitorear, dar seguimiento y acompañamiento expedito al cumplimiento de las directrices, circulares y memorándum emitidos por la Dirección de Programas de Equidad. De manera tal, que se indique los alcances y responsabilidades de cada una de las partes a las cuales se remita la norma. (</w:t>
      </w:r>
      <w:r w:rsidR="002A619F" w:rsidRPr="005C0FA7">
        <w:rPr>
          <w:b/>
        </w:rPr>
        <w:t>Ver comentario 2.</w:t>
      </w:r>
      <w:r w:rsidR="004C0902" w:rsidRPr="005C0FA7">
        <w:rPr>
          <w:b/>
        </w:rPr>
        <w:t>4</w:t>
      </w:r>
      <w:r w:rsidR="002A619F" w:rsidRPr="005C0FA7">
        <w:rPr>
          <w:b/>
        </w:rPr>
        <w:t>)</w:t>
      </w:r>
      <w:r w:rsidR="00471BC6" w:rsidRPr="005C0FA7">
        <w:rPr>
          <w:b/>
        </w:rPr>
        <w:t xml:space="preserve"> </w:t>
      </w:r>
      <w:r w:rsidR="002A619F" w:rsidRPr="005C0FA7">
        <w:rPr>
          <w:b/>
        </w:rPr>
        <w:t>(</w:t>
      </w:r>
      <w:r w:rsidR="000B6C30" w:rsidRPr="005C0FA7">
        <w:rPr>
          <w:b/>
        </w:rPr>
        <w:t>Aplicación inmediata</w:t>
      </w:r>
      <w:r w:rsidR="002A619F" w:rsidRPr="005C0FA7">
        <w:rPr>
          <w:rFonts w:eastAsiaTheme="minorHAnsi"/>
          <w:b/>
          <w:lang w:val="es-CR" w:eastAsia="en-US"/>
        </w:rPr>
        <w:t>)</w:t>
      </w:r>
      <w:r w:rsidR="00F83F14" w:rsidRPr="005C0FA7">
        <w:rPr>
          <w:rFonts w:eastAsiaTheme="minorHAnsi"/>
          <w:b/>
          <w:lang w:val="es-CR" w:eastAsia="en-US"/>
        </w:rPr>
        <w:t>.</w:t>
      </w:r>
      <w:r w:rsidR="008E0000" w:rsidRPr="005C0FA7">
        <w:rPr>
          <w:rFonts w:eastAsiaTheme="minorHAnsi"/>
          <w:b/>
          <w:lang w:val="es-CR" w:eastAsia="en-US"/>
        </w:rPr>
        <w:t xml:space="preserve"> </w:t>
      </w:r>
      <w:r w:rsidR="008E0000" w:rsidRPr="005C0FA7">
        <w:t xml:space="preserve">Esta recomendación se encuentra en concordancia </w:t>
      </w:r>
      <w:r w:rsidR="007404C7" w:rsidRPr="005C0FA7">
        <w:t>con las recomendaciones</w:t>
      </w:r>
      <w:r w:rsidR="008E0000" w:rsidRPr="005C0FA7">
        <w:t xml:space="preserve"> 4.10 </w:t>
      </w:r>
      <w:r w:rsidR="007404C7" w:rsidRPr="005C0FA7">
        <w:t xml:space="preserve">y 4.14 </w:t>
      </w:r>
      <w:r w:rsidR="008E0000" w:rsidRPr="005C0FA7">
        <w:t>del informe DFOE-SOC-IF-00026-2018 del ente Contralor</w:t>
      </w:r>
      <w:r w:rsidR="008E0000" w:rsidRPr="005C0FA7">
        <w:rPr>
          <w:sz w:val="22"/>
          <w:szCs w:val="22"/>
        </w:rPr>
        <w:t>.</w:t>
      </w:r>
    </w:p>
    <w:p w14:paraId="07F69BC9" w14:textId="77777777" w:rsidR="007658F6" w:rsidRPr="005C0FA7" w:rsidRDefault="007658F6" w:rsidP="00036AE8">
      <w:pPr>
        <w:tabs>
          <w:tab w:val="left" w:pos="284"/>
        </w:tabs>
        <w:suppressAutoHyphens w:val="0"/>
        <w:autoSpaceDE w:val="0"/>
        <w:autoSpaceDN w:val="0"/>
        <w:adjustRightInd w:val="0"/>
        <w:jc w:val="both"/>
        <w:rPr>
          <w:rFonts w:eastAsiaTheme="minorHAnsi"/>
          <w:lang w:val="es-CR" w:eastAsia="en-US"/>
        </w:rPr>
      </w:pPr>
    </w:p>
    <w:p w14:paraId="1AC3295E" w14:textId="43BE3AD0" w:rsidR="00233A32" w:rsidRPr="005C0FA7" w:rsidRDefault="00971373" w:rsidP="00233A32">
      <w:pPr>
        <w:pStyle w:val="Default"/>
        <w:jc w:val="both"/>
        <w:rPr>
          <w:rFonts w:ascii="Times New Roman" w:hAnsi="Times New Roman" w:cs="Times New Roman"/>
          <w:color w:val="auto"/>
        </w:rPr>
      </w:pPr>
      <w:r>
        <w:rPr>
          <w:rFonts w:ascii="Times New Roman" w:hAnsi="Times New Roman" w:cs="Times New Roman"/>
          <w:b/>
          <w:color w:val="auto"/>
        </w:rPr>
        <w:t>4.</w:t>
      </w:r>
      <w:r w:rsidR="00472786" w:rsidRPr="005C0FA7">
        <w:rPr>
          <w:rFonts w:ascii="Times New Roman" w:hAnsi="Times New Roman" w:cs="Times New Roman"/>
          <w:b/>
          <w:color w:val="auto"/>
        </w:rPr>
        <w:t>10</w:t>
      </w:r>
      <w:r w:rsidR="00233A32" w:rsidRPr="005C0FA7">
        <w:rPr>
          <w:rFonts w:ascii="Times New Roman" w:hAnsi="Times New Roman" w:cs="Times New Roman"/>
          <w:color w:val="auto"/>
        </w:rPr>
        <w:t xml:space="preserve"> Establecer las actividades pertinentes que permitan analizar y evaluar la gestión integral de la DPE, las cuales deberán estar debidamente documentadas</w:t>
      </w:r>
      <w:r w:rsidR="00471BC6" w:rsidRPr="005C0FA7">
        <w:rPr>
          <w:rFonts w:ascii="Times New Roman" w:hAnsi="Times New Roman" w:cs="Times New Roman"/>
          <w:color w:val="auto"/>
        </w:rPr>
        <w:t>.</w:t>
      </w:r>
      <w:r w:rsidR="00233A32" w:rsidRPr="005C0FA7">
        <w:rPr>
          <w:rFonts w:ascii="Times New Roman" w:hAnsi="Times New Roman" w:cs="Times New Roman"/>
          <w:color w:val="auto"/>
        </w:rPr>
        <w:t xml:space="preserve"> </w:t>
      </w:r>
      <w:r w:rsidR="00471BC6" w:rsidRPr="005C0FA7">
        <w:rPr>
          <w:color w:val="auto"/>
        </w:rPr>
        <w:t>(</w:t>
      </w:r>
      <w:r w:rsidR="00471BC6" w:rsidRPr="005C0FA7">
        <w:rPr>
          <w:rFonts w:ascii="Times New Roman" w:eastAsia="Times New Roman" w:hAnsi="Times New Roman" w:cs="Times New Roman"/>
          <w:b/>
          <w:color w:val="auto"/>
          <w:lang w:val="es-ES" w:eastAsia="ar-SA"/>
        </w:rPr>
        <w:t>Ver comentario 2.</w:t>
      </w:r>
      <w:r w:rsidR="004C0902" w:rsidRPr="005C0FA7">
        <w:rPr>
          <w:rFonts w:ascii="Times New Roman" w:eastAsia="Times New Roman" w:hAnsi="Times New Roman" w:cs="Times New Roman"/>
          <w:b/>
          <w:color w:val="auto"/>
          <w:lang w:val="es-ES" w:eastAsia="ar-SA"/>
        </w:rPr>
        <w:t>5.2</w:t>
      </w:r>
      <w:r w:rsidR="00471BC6" w:rsidRPr="005C0FA7">
        <w:rPr>
          <w:rFonts w:ascii="Times New Roman" w:eastAsia="Times New Roman" w:hAnsi="Times New Roman" w:cs="Times New Roman"/>
          <w:b/>
          <w:color w:val="auto"/>
          <w:lang w:val="es-ES" w:eastAsia="ar-SA"/>
        </w:rPr>
        <w:t>) (</w:t>
      </w:r>
      <w:r w:rsidR="000B6C30" w:rsidRPr="005C0FA7">
        <w:rPr>
          <w:rFonts w:ascii="Times New Roman" w:eastAsia="Times New Roman" w:hAnsi="Times New Roman" w:cs="Times New Roman"/>
          <w:b/>
          <w:color w:val="auto"/>
          <w:lang w:val="es-ES" w:eastAsia="ar-SA"/>
        </w:rPr>
        <w:t>Aplicación inmediata</w:t>
      </w:r>
      <w:r w:rsidR="00471BC6" w:rsidRPr="005C0FA7">
        <w:rPr>
          <w:rFonts w:ascii="Times New Roman" w:eastAsia="Times New Roman" w:hAnsi="Times New Roman" w:cs="Times New Roman"/>
          <w:b/>
          <w:color w:val="auto"/>
          <w:lang w:val="es-ES" w:eastAsia="ar-SA"/>
        </w:rPr>
        <w:t>)</w:t>
      </w:r>
      <w:r w:rsidR="00F83F14" w:rsidRPr="005C0FA7">
        <w:rPr>
          <w:rFonts w:ascii="Times New Roman" w:eastAsia="Times New Roman" w:hAnsi="Times New Roman" w:cs="Times New Roman"/>
          <w:b/>
          <w:color w:val="auto"/>
          <w:lang w:val="es-ES" w:eastAsia="ar-SA"/>
        </w:rPr>
        <w:t xml:space="preserve">. </w:t>
      </w:r>
      <w:r w:rsidR="0052564B" w:rsidRPr="005C0FA7">
        <w:rPr>
          <w:rFonts w:ascii="Times New Roman" w:hAnsi="Times New Roman" w:cs="Times New Roman"/>
          <w:color w:val="auto"/>
        </w:rPr>
        <w:t xml:space="preserve">Esta recomendación se encuentra en concordancia </w:t>
      </w:r>
      <w:r w:rsidR="00321278" w:rsidRPr="005C0FA7">
        <w:rPr>
          <w:rFonts w:ascii="Times New Roman" w:hAnsi="Times New Roman" w:cs="Times New Roman"/>
          <w:color w:val="auto"/>
        </w:rPr>
        <w:t>con las recomendaciones:</w:t>
      </w:r>
      <w:r w:rsidR="0052564B" w:rsidRPr="005C0FA7">
        <w:rPr>
          <w:rFonts w:ascii="Times New Roman" w:hAnsi="Times New Roman" w:cs="Times New Roman"/>
          <w:color w:val="auto"/>
        </w:rPr>
        <w:t xml:space="preserve"> 4.10</w:t>
      </w:r>
      <w:r w:rsidR="00321278" w:rsidRPr="005C0FA7">
        <w:rPr>
          <w:rFonts w:ascii="Times New Roman" w:hAnsi="Times New Roman" w:cs="Times New Roman"/>
          <w:color w:val="auto"/>
        </w:rPr>
        <w:t xml:space="preserve"> y 4.15</w:t>
      </w:r>
      <w:r w:rsidR="0052564B" w:rsidRPr="005C0FA7">
        <w:rPr>
          <w:rFonts w:ascii="Times New Roman" w:hAnsi="Times New Roman" w:cs="Times New Roman"/>
          <w:color w:val="auto"/>
        </w:rPr>
        <w:t xml:space="preserve"> del informe DFOE-SOC-IF-00026-2018 del ente Contralor.</w:t>
      </w:r>
    </w:p>
    <w:p w14:paraId="4C16A93B" w14:textId="77777777" w:rsidR="00615DC8" w:rsidRPr="005C0FA7" w:rsidRDefault="00615DC8" w:rsidP="00314016">
      <w:pPr>
        <w:jc w:val="both"/>
        <w:rPr>
          <w:b/>
        </w:rPr>
      </w:pPr>
    </w:p>
    <w:p w14:paraId="1C670B1C" w14:textId="73E30A70" w:rsidR="000B6C30" w:rsidRPr="005C0FA7" w:rsidRDefault="00971373" w:rsidP="000B6C30">
      <w:pPr>
        <w:pStyle w:val="Default"/>
        <w:jc w:val="both"/>
        <w:rPr>
          <w:rFonts w:ascii="Times New Roman" w:hAnsi="Times New Roman" w:cs="Times New Roman"/>
          <w:color w:val="auto"/>
        </w:rPr>
      </w:pPr>
      <w:r>
        <w:rPr>
          <w:rFonts w:ascii="Times New Roman" w:hAnsi="Times New Roman" w:cs="Times New Roman"/>
          <w:b/>
          <w:color w:val="auto"/>
        </w:rPr>
        <w:t>4.</w:t>
      </w:r>
      <w:r w:rsidR="00471BC6" w:rsidRPr="005C0FA7">
        <w:rPr>
          <w:rFonts w:ascii="Times New Roman" w:hAnsi="Times New Roman" w:cs="Times New Roman"/>
          <w:b/>
          <w:color w:val="auto"/>
        </w:rPr>
        <w:t>1</w:t>
      </w:r>
      <w:r w:rsidR="00472786" w:rsidRPr="005C0FA7">
        <w:rPr>
          <w:rFonts w:ascii="Times New Roman" w:hAnsi="Times New Roman" w:cs="Times New Roman"/>
          <w:b/>
          <w:color w:val="auto"/>
        </w:rPr>
        <w:t>1</w:t>
      </w:r>
      <w:r w:rsidR="00471BC6" w:rsidRPr="005C0FA7">
        <w:rPr>
          <w:b/>
          <w:color w:val="auto"/>
        </w:rPr>
        <w:t xml:space="preserve"> </w:t>
      </w:r>
      <w:r w:rsidR="00471BC6" w:rsidRPr="005C0FA7">
        <w:rPr>
          <w:rFonts w:ascii="Times New Roman" w:hAnsi="Times New Roman" w:cs="Times New Roman"/>
          <w:color w:val="auto"/>
        </w:rPr>
        <w:t>Ejecutar un análisis de incidencias y tipos de conflictos que se presentan en la DPE y con base a eso, considerar la anuencia de crear un procedimiento para el tratamiento de estos casos</w:t>
      </w:r>
      <w:r w:rsidR="00F1017D" w:rsidRPr="005C0FA7">
        <w:rPr>
          <w:rFonts w:ascii="Times New Roman" w:hAnsi="Times New Roman" w:cs="Times New Roman"/>
          <w:color w:val="auto"/>
        </w:rPr>
        <w:t>.</w:t>
      </w:r>
      <w:r w:rsidR="00F1017D" w:rsidRPr="005C0FA7">
        <w:rPr>
          <w:color w:val="auto"/>
        </w:rPr>
        <w:t xml:space="preserve"> (</w:t>
      </w:r>
      <w:r w:rsidR="00471BC6" w:rsidRPr="005C0FA7">
        <w:rPr>
          <w:rFonts w:ascii="Times New Roman" w:eastAsia="Times New Roman" w:hAnsi="Times New Roman" w:cs="Times New Roman"/>
          <w:b/>
          <w:color w:val="auto"/>
          <w:lang w:val="es-ES" w:eastAsia="ar-SA"/>
        </w:rPr>
        <w:t>Ver comentario 2.</w:t>
      </w:r>
      <w:r w:rsidR="004C0902" w:rsidRPr="005C0FA7">
        <w:rPr>
          <w:rFonts w:ascii="Times New Roman" w:eastAsia="Times New Roman" w:hAnsi="Times New Roman" w:cs="Times New Roman"/>
          <w:b/>
          <w:color w:val="auto"/>
          <w:lang w:val="es-ES" w:eastAsia="ar-SA"/>
        </w:rPr>
        <w:t>5.1</w:t>
      </w:r>
      <w:r w:rsidR="00471BC6" w:rsidRPr="005C0FA7">
        <w:rPr>
          <w:rFonts w:ascii="Times New Roman" w:eastAsia="Times New Roman" w:hAnsi="Times New Roman" w:cs="Times New Roman"/>
          <w:b/>
          <w:color w:val="auto"/>
          <w:lang w:val="es-ES" w:eastAsia="ar-SA"/>
        </w:rPr>
        <w:t>) (</w:t>
      </w:r>
      <w:r w:rsidR="000B6C30" w:rsidRPr="005C0FA7">
        <w:rPr>
          <w:rFonts w:ascii="Times New Roman" w:eastAsia="Times New Roman" w:hAnsi="Times New Roman" w:cs="Times New Roman"/>
          <w:b/>
          <w:color w:val="auto"/>
          <w:lang w:val="es-ES" w:eastAsia="ar-SA"/>
        </w:rPr>
        <w:t>Aplicación inmediata</w:t>
      </w:r>
      <w:r w:rsidR="00471BC6" w:rsidRPr="005C0FA7">
        <w:rPr>
          <w:rFonts w:ascii="Times New Roman" w:eastAsia="Times New Roman" w:hAnsi="Times New Roman" w:cs="Times New Roman"/>
          <w:b/>
          <w:color w:val="auto"/>
          <w:lang w:val="es-ES" w:eastAsia="ar-SA"/>
        </w:rPr>
        <w:t>)</w:t>
      </w:r>
    </w:p>
    <w:p w14:paraId="3822005F" w14:textId="77777777" w:rsidR="00472786" w:rsidRPr="005C0FA7" w:rsidRDefault="00472786" w:rsidP="00B6673D">
      <w:pPr>
        <w:jc w:val="both"/>
        <w:rPr>
          <w:b/>
        </w:rPr>
      </w:pPr>
    </w:p>
    <w:p w14:paraId="0B751621" w14:textId="77777777" w:rsidR="00C22BA3" w:rsidRPr="005C0FA7" w:rsidRDefault="00B6673D" w:rsidP="00B6673D">
      <w:pPr>
        <w:jc w:val="both"/>
        <w:rPr>
          <w:b/>
        </w:rPr>
      </w:pPr>
      <w:r w:rsidRPr="005C0FA7">
        <w:rPr>
          <w:b/>
        </w:rPr>
        <w:t>A la Dirección Financiera</w:t>
      </w:r>
    </w:p>
    <w:p w14:paraId="25DEACC2" w14:textId="77777777" w:rsidR="00294C7E" w:rsidRPr="005C0FA7" w:rsidRDefault="00294C7E" w:rsidP="00B6673D">
      <w:pPr>
        <w:jc w:val="both"/>
        <w:rPr>
          <w:b/>
          <w:u w:val="single"/>
        </w:rPr>
      </w:pPr>
    </w:p>
    <w:p w14:paraId="706B2A1C" w14:textId="11AF1730" w:rsidR="00D40A61" w:rsidRDefault="00971373" w:rsidP="00B6673D">
      <w:pPr>
        <w:jc w:val="both"/>
        <w:rPr>
          <w:b/>
        </w:rPr>
      </w:pPr>
      <w:r>
        <w:rPr>
          <w:b/>
        </w:rPr>
        <w:t>4.</w:t>
      </w:r>
      <w:r w:rsidR="00C22BA3" w:rsidRPr="005C0FA7">
        <w:rPr>
          <w:b/>
        </w:rPr>
        <w:t>1</w:t>
      </w:r>
      <w:r w:rsidR="00472786" w:rsidRPr="005C0FA7">
        <w:rPr>
          <w:b/>
        </w:rPr>
        <w:t>2</w:t>
      </w:r>
      <w:r w:rsidR="00EE5DC2">
        <w:rPr>
          <w:b/>
        </w:rPr>
        <w:t xml:space="preserve"> </w:t>
      </w:r>
      <w:r w:rsidR="00B6673D" w:rsidRPr="005C0FA7">
        <w:t xml:space="preserve">Apoyar al Viceministerio de Planificación Institucional y Coordinación Regional </w:t>
      </w:r>
      <w:r w:rsidR="00D40A61">
        <w:t xml:space="preserve">en el </w:t>
      </w:r>
      <w:r w:rsidR="00D40A61" w:rsidRPr="005C0FA7">
        <w:t>diseñ</w:t>
      </w:r>
      <w:r w:rsidR="00D40A61">
        <w:t>o</w:t>
      </w:r>
      <w:r w:rsidR="00D40A61" w:rsidRPr="005C0FA7">
        <w:t>, divulga</w:t>
      </w:r>
      <w:r w:rsidR="00D40A61">
        <w:t xml:space="preserve">ción </w:t>
      </w:r>
      <w:r w:rsidR="00D40A61" w:rsidRPr="005C0FA7">
        <w:t>e implementa</w:t>
      </w:r>
      <w:r w:rsidR="00D40A61">
        <w:t xml:space="preserve">ción de </w:t>
      </w:r>
      <w:r w:rsidR="00EE5DC2" w:rsidRPr="00EE5DC2">
        <w:t>normativa específica</w:t>
      </w:r>
      <w:r w:rsidR="00D40A61" w:rsidRPr="00EE5DC2">
        <w:t xml:space="preserve"> a nivel ministerial para el control de los recursos públicos, sean estos con destino a reinvertirse</w:t>
      </w:r>
      <w:r w:rsidR="00EE5DC2" w:rsidRPr="00EE5DC2">
        <w:t>,</w:t>
      </w:r>
      <w:r w:rsidR="00D40A61" w:rsidRPr="00EE5DC2">
        <w:t xml:space="preserve"> como</w:t>
      </w:r>
      <w:r w:rsidR="00EE5DC2" w:rsidRPr="00EE5DC2">
        <w:t xml:space="preserve"> también</w:t>
      </w:r>
      <w:r w:rsidR="00D40A61" w:rsidRPr="00EE5DC2">
        <w:t xml:space="preserve"> aquellos que se custodien bajo la tutela del Ministerio de Hacienda</w:t>
      </w:r>
      <w:r w:rsidR="00B6673D" w:rsidRPr="00EE5DC2">
        <w:t xml:space="preserve">. </w:t>
      </w:r>
      <w:r w:rsidR="00B6673D" w:rsidRPr="005C0FA7">
        <w:rPr>
          <w:b/>
        </w:rPr>
        <w:t>(Ver comentario 2.1) (Aplicación inmediata)</w:t>
      </w:r>
    </w:p>
    <w:p w14:paraId="5A3B696F" w14:textId="77777777" w:rsidR="00D40A61" w:rsidRDefault="00D40A61" w:rsidP="00B6673D">
      <w:pPr>
        <w:jc w:val="both"/>
        <w:rPr>
          <w:b/>
        </w:rPr>
      </w:pPr>
    </w:p>
    <w:p w14:paraId="4FEF16A5" w14:textId="77777777" w:rsidR="00C22BA3" w:rsidRPr="005C0FA7" w:rsidRDefault="00C22BA3" w:rsidP="00C22BA3">
      <w:pPr>
        <w:jc w:val="both"/>
        <w:rPr>
          <w:b/>
          <w:bCs/>
        </w:rPr>
      </w:pPr>
      <w:r w:rsidRPr="005C0FA7">
        <w:rPr>
          <w:b/>
          <w:bCs/>
        </w:rPr>
        <w:t>A la Dirección de Recursos Humanos</w:t>
      </w:r>
    </w:p>
    <w:p w14:paraId="2244A1E4" w14:textId="77777777" w:rsidR="006829E5" w:rsidRPr="005C0FA7" w:rsidRDefault="006829E5" w:rsidP="00C22BA3">
      <w:pPr>
        <w:jc w:val="both"/>
        <w:rPr>
          <w:b/>
          <w:bCs/>
          <w:u w:val="single"/>
        </w:rPr>
      </w:pPr>
    </w:p>
    <w:p w14:paraId="3E037B86" w14:textId="02316E08" w:rsidR="00C22BA3" w:rsidRPr="005C0FA7" w:rsidRDefault="00971373" w:rsidP="00C22BA3">
      <w:pPr>
        <w:jc w:val="both"/>
        <w:rPr>
          <w:b/>
        </w:rPr>
      </w:pPr>
      <w:r>
        <w:rPr>
          <w:b/>
        </w:rPr>
        <w:t>4.</w:t>
      </w:r>
      <w:r w:rsidR="00C22BA3" w:rsidRPr="005C0FA7">
        <w:rPr>
          <w:b/>
        </w:rPr>
        <w:t>1</w:t>
      </w:r>
      <w:r w:rsidR="00472786" w:rsidRPr="005C0FA7">
        <w:rPr>
          <w:b/>
        </w:rPr>
        <w:t>3</w:t>
      </w:r>
      <w:r w:rsidR="00EE5DC2">
        <w:rPr>
          <w:b/>
        </w:rPr>
        <w:t xml:space="preserve"> </w:t>
      </w:r>
      <w:r w:rsidR="00C22BA3" w:rsidRPr="005C0FA7">
        <w:rPr>
          <w:rFonts w:eastAsiaTheme="minorHAnsi"/>
          <w:lang w:eastAsia="en-US"/>
        </w:rPr>
        <w:t xml:space="preserve">Establecer un procedimiento que permita comunicar oportunamente a las jefaturas que corresponda los movimientos del personal donde medie un proceso administrativo, de manera tal que le permita a las distintas instancias tomar las acciones y medidas pertinentes. </w:t>
      </w:r>
      <w:r w:rsidR="00C22BA3" w:rsidRPr="005C0FA7">
        <w:rPr>
          <w:b/>
        </w:rPr>
        <w:t>(Ver comentario 2.</w:t>
      </w:r>
      <w:r w:rsidR="00B108EF" w:rsidRPr="005C0FA7">
        <w:rPr>
          <w:b/>
        </w:rPr>
        <w:t>7</w:t>
      </w:r>
      <w:r w:rsidR="00C22BA3" w:rsidRPr="005C0FA7">
        <w:rPr>
          <w:b/>
        </w:rPr>
        <w:t>.1) (Aplicación inmediata)</w:t>
      </w:r>
    </w:p>
    <w:p w14:paraId="26A69966" w14:textId="77777777" w:rsidR="00615DC8" w:rsidRPr="005C0FA7" w:rsidRDefault="00615DC8" w:rsidP="00314016">
      <w:pPr>
        <w:jc w:val="both"/>
        <w:rPr>
          <w:b/>
        </w:rPr>
      </w:pPr>
    </w:p>
    <w:p w14:paraId="1F0BAB51" w14:textId="1047507F" w:rsidR="00314016" w:rsidRPr="00DF7EF8" w:rsidRDefault="00314016" w:rsidP="00DF7EF8">
      <w:pPr>
        <w:pStyle w:val="Ttulo1"/>
        <w:jc w:val="both"/>
        <w:rPr>
          <w:rFonts w:ascii="Times New Roman" w:hAnsi="Times New Roman" w:cs="Times New Roman"/>
          <w:b/>
          <w:color w:val="auto"/>
          <w:sz w:val="24"/>
          <w:szCs w:val="24"/>
        </w:rPr>
      </w:pPr>
      <w:bookmarkStart w:id="26" w:name="_Toc3552513"/>
      <w:r w:rsidRPr="00DF7EF8">
        <w:rPr>
          <w:rFonts w:ascii="Times New Roman" w:hAnsi="Times New Roman" w:cs="Times New Roman"/>
          <w:b/>
          <w:color w:val="auto"/>
          <w:sz w:val="24"/>
          <w:szCs w:val="24"/>
        </w:rPr>
        <w:t>5</w:t>
      </w:r>
      <w:r w:rsidR="00DF7EF8">
        <w:rPr>
          <w:rFonts w:ascii="Times New Roman" w:hAnsi="Times New Roman" w:cs="Times New Roman"/>
          <w:b/>
          <w:color w:val="auto"/>
          <w:sz w:val="24"/>
          <w:szCs w:val="24"/>
        </w:rPr>
        <w:t>.</w:t>
      </w:r>
      <w:r w:rsidR="00453D12" w:rsidRPr="00DF7EF8">
        <w:rPr>
          <w:rFonts w:ascii="Times New Roman" w:hAnsi="Times New Roman" w:cs="Times New Roman"/>
          <w:b/>
          <w:color w:val="auto"/>
          <w:sz w:val="24"/>
          <w:szCs w:val="24"/>
        </w:rPr>
        <w:t xml:space="preserve"> </w:t>
      </w:r>
      <w:r w:rsidRPr="00DF7EF8">
        <w:rPr>
          <w:rFonts w:ascii="Times New Roman" w:hAnsi="Times New Roman" w:cs="Times New Roman"/>
          <w:b/>
          <w:color w:val="auto"/>
          <w:sz w:val="24"/>
          <w:szCs w:val="24"/>
        </w:rPr>
        <w:t>PUNTOS ESPECÍFICOS</w:t>
      </w:r>
      <w:bookmarkEnd w:id="26"/>
      <w:r w:rsidRPr="00DF7EF8">
        <w:rPr>
          <w:rFonts w:ascii="Times New Roman" w:hAnsi="Times New Roman" w:cs="Times New Roman"/>
          <w:b/>
          <w:color w:val="auto"/>
          <w:sz w:val="24"/>
          <w:szCs w:val="24"/>
        </w:rPr>
        <w:t xml:space="preserve"> </w:t>
      </w:r>
    </w:p>
    <w:p w14:paraId="364D25FC" w14:textId="77777777" w:rsidR="0051730B" w:rsidRPr="00DF7EF8" w:rsidRDefault="0051730B" w:rsidP="00DF7EF8">
      <w:pPr>
        <w:pStyle w:val="Ttulo2"/>
        <w:jc w:val="both"/>
        <w:rPr>
          <w:sz w:val="24"/>
          <w:szCs w:val="24"/>
        </w:rPr>
      </w:pPr>
      <w:bookmarkStart w:id="27" w:name="_Toc3552514"/>
      <w:r w:rsidRPr="00DF7EF8">
        <w:rPr>
          <w:sz w:val="24"/>
          <w:szCs w:val="24"/>
        </w:rPr>
        <w:t>5.1 Origen</w:t>
      </w:r>
      <w:bookmarkEnd w:id="27"/>
    </w:p>
    <w:p w14:paraId="6388431B" w14:textId="77777777" w:rsidR="00971373" w:rsidRDefault="00971373" w:rsidP="00453D12">
      <w:pPr>
        <w:jc w:val="both"/>
      </w:pPr>
    </w:p>
    <w:p w14:paraId="7D835299" w14:textId="77777777" w:rsidR="00971373" w:rsidRDefault="00971373" w:rsidP="00453D12">
      <w:pPr>
        <w:jc w:val="both"/>
      </w:pPr>
    </w:p>
    <w:p w14:paraId="48B71547" w14:textId="77777777" w:rsidR="00453D12" w:rsidRPr="005C0FA7" w:rsidRDefault="00453D12" w:rsidP="00453D12">
      <w:pPr>
        <w:jc w:val="both"/>
      </w:pPr>
      <w:r w:rsidRPr="005C0FA7">
        <w:lastRenderedPageBreak/>
        <w:t>El presente estudio tiene su origen en el Plan de Trabajo de la Dirección de Aud</w:t>
      </w:r>
      <w:r w:rsidR="00270604" w:rsidRPr="005C0FA7">
        <w:t>itoría Interna</w:t>
      </w:r>
      <w:r w:rsidRPr="005C0FA7">
        <w:t>. L</w:t>
      </w:r>
      <w:r w:rsidR="00CD444B" w:rsidRPr="005C0FA7">
        <w:t xml:space="preserve">a potestad para su realización </w:t>
      </w:r>
      <w:r w:rsidRPr="005C0FA7">
        <w:t>y solicitar la posterior impleme</w:t>
      </w:r>
      <w:r w:rsidR="00CD444B" w:rsidRPr="005C0FA7">
        <w:t xml:space="preserve">ntación de sus recomendaciones </w:t>
      </w:r>
      <w:r w:rsidRPr="005C0FA7">
        <w:t>emana del artículo 22 de la Ley General de Control Interno, en el que se confiere a las Auditorías Internas la atribución de realizar evaluaciones de procesos y recursos sujetos a su competencia institucional.</w:t>
      </w:r>
    </w:p>
    <w:p w14:paraId="5C4BC61F" w14:textId="77777777" w:rsidR="00971373" w:rsidRDefault="00971373" w:rsidP="00971373">
      <w:pPr>
        <w:pStyle w:val="Ttulo2"/>
        <w:spacing w:before="0" w:beforeAutospacing="0"/>
        <w:jc w:val="both"/>
        <w:rPr>
          <w:sz w:val="24"/>
          <w:szCs w:val="24"/>
        </w:rPr>
      </w:pPr>
      <w:bookmarkStart w:id="28" w:name="_Toc3552515"/>
    </w:p>
    <w:p w14:paraId="5F58FD8B" w14:textId="77777777" w:rsidR="00453D12" w:rsidRPr="00DF7EF8" w:rsidRDefault="00314016" w:rsidP="00971373">
      <w:pPr>
        <w:pStyle w:val="Ttulo2"/>
        <w:spacing w:before="0" w:beforeAutospacing="0" w:after="0" w:afterAutospacing="0"/>
        <w:jc w:val="both"/>
        <w:rPr>
          <w:sz w:val="24"/>
          <w:szCs w:val="24"/>
        </w:rPr>
      </w:pPr>
      <w:r w:rsidRPr="00DF7EF8">
        <w:rPr>
          <w:sz w:val="24"/>
          <w:szCs w:val="24"/>
        </w:rPr>
        <w:t>5</w:t>
      </w:r>
      <w:r w:rsidR="00453D12" w:rsidRPr="00DF7EF8">
        <w:rPr>
          <w:sz w:val="24"/>
          <w:szCs w:val="24"/>
        </w:rPr>
        <w:t>.2 Normativa Aplicable</w:t>
      </w:r>
      <w:bookmarkEnd w:id="28"/>
      <w:r w:rsidR="00453D12" w:rsidRPr="00DF7EF8">
        <w:rPr>
          <w:sz w:val="24"/>
          <w:szCs w:val="24"/>
        </w:rPr>
        <w:t xml:space="preserve"> </w:t>
      </w:r>
    </w:p>
    <w:p w14:paraId="7403AE2F" w14:textId="77777777" w:rsidR="00453D12" w:rsidRPr="005C0FA7" w:rsidRDefault="00453D12" w:rsidP="00453D12">
      <w:pPr>
        <w:jc w:val="both"/>
      </w:pPr>
      <w:r w:rsidRPr="005C0FA7">
        <w:t xml:space="preserve">Este informe se ejecutó de conformidad con lo establecido en la Ley General de Control Interno, </w:t>
      </w:r>
      <w:r w:rsidR="00560EEA" w:rsidRPr="005C0FA7">
        <w:t>Normas de Control I</w:t>
      </w:r>
      <w:r w:rsidR="009106F1" w:rsidRPr="005C0FA7">
        <w:t>nterno para el Sector Público</w:t>
      </w:r>
      <w:r w:rsidRPr="005C0FA7">
        <w:t xml:space="preserve">, el Manual de Normas Generales de Auditoría para el Sector Público y normativa adicional relacionada al estudio. </w:t>
      </w:r>
    </w:p>
    <w:p w14:paraId="0C6F0621" w14:textId="77777777" w:rsidR="00453D12" w:rsidRPr="00DF7EF8" w:rsidRDefault="00314016" w:rsidP="00971373">
      <w:pPr>
        <w:pStyle w:val="Ttulo2"/>
        <w:spacing w:after="0" w:afterAutospacing="0"/>
        <w:jc w:val="both"/>
        <w:rPr>
          <w:sz w:val="24"/>
          <w:szCs w:val="24"/>
        </w:rPr>
      </w:pPr>
      <w:bookmarkStart w:id="29" w:name="_Toc3552516"/>
      <w:r w:rsidRPr="00DF7EF8">
        <w:rPr>
          <w:sz w:val="24"/>
          <w:szCs w:val="24"/>
        </w:rPr>
        <w:t>5</w:t>
      </w:r>
      <w:r w:rsidR="00453D12" w:rsidRPr="00DF7EF8">
        <w:rPr>
          <w:sz w:val="24"/>
          <w:szCs w:val="24"/>
        </w:rPr>
        <w:t>.3 Discusión de resultados</w:t>
      </w:r>
      <w:bookmarkEnd w:id="29"/>
      <w:r w:rsidR="00453D12" w:rsidRPr="00DF7EF8">
        <w:rPr>
          <w:sz w:val="24"/>
          <w:szCs w:val="24"/>
        </w:rPr>
        <w:t xml:space="preserve"> </w:t>
      </w:r>
    </w:p>
    <w:p w14:paraId="42CD7758" w14:textId="454920C2" w:rsidR="00270604" w:rsidRPr="005C0FA7" w:rsidRDefault="00270604" w:rsidP="00971373">
      <w:pPr>
        <w:jc w:val="both"/>
      </w:pPr>
      <w:r w:rsidRPr="005C0FA7">
        <w:t xml:space="preserve">El día </w:t>
      </w:r>
      <w:r w:rsidR="00105E42" w:rsidRPr="005C0FA7">
        <w:t xml:space="preserve">29 </w:t>
      </w:r>
      <w:r w:rsidRPr="005C0FA7">
        <w:t xml:space="preserve">de noviembre del 2018, a las </w:t>
      </w:r>
      <w:r w:rsidR="00BB3983" w:rsidRPr="005C0FA7">
        <w:t>10:00 am en la Dirección de Auditoría Interna</w:t>
      </w:r>
      <w:r w:rsidRPr="005C0FA7">
        <w:t xml:space="preserve"> se discutió el borrador del informe con el </w:t>
      </w:r>
      <w:r w:rsidR="00BB3983" w:rsidRPr="005C0FA7">
        <w:t>MBA. José Leonardo Sánchez Hernández</w:t>
      </w:r>
      <w:r w:rsidRPr="005C0FA7">
        <w:t xml:space="preserve">, Director </w:t>
      </w:r>
      <w:r w:rsidR="00BB3983" w:rsidRPr="005C0FA7">
        <w:t>de DP</w:t>
      </w:r>
      <w:r w:rsidRPr="005C0FA7">
        <w:t>E,</w:t>
      </w:r>
      <w:r w:rsidR="00BB3983" w:rsidRPr="005C0FA7">
        <w:t xml:space="preserve"> Licda. Denia Rodríguez Vallejos, Subdirectora de la DPE, Licda. Adriana Jiménez Ramírez y el Lic. Pablo García Valerio, ambos funcionarios de la DPE. </w:t>
      </w:r>
      <w:r w:rsidR="00553CC6" w:rsidRPr="005C0FA7">
        <w:t>Por otro lado, por</w:t>
      </w:r>
      <w:r w:rsidR="00BB3983" w:rsidRPr="005C0FA7">
        <w:t xml:space="preserve"> parte de la Dirección de Auditoría Interna</w:t>
      </w:r>
      <w:r w:rsidR="00553CC6" w:rsidRPr="005C0FA7">
        <w:t xml:space="preserve"> estuvieron presente: MBA. Sarita Pérez Umaña Sub</w:t>
      </w:r>
      <w:r w:rsidR="00935C83" w:rsidRPr="005C0FA7">
        <w:t>-</w:t>
      </w:r>
      <w:r w:rsidR="00553CC6" w:rsidRPr="005C0FA7">
        <w:t xml:space="preserve">auditora a.i., MBA. </w:t>
      </w:r>
      <w:r w:rsidR="001558AE" w:rsidRPr="005C0FA7">
        <w:t>Gaudin</w:t>
      </w:r>
      <w:r w:rsidR="00553CC6" w:rsidRPr="005C0FA7">
        <w:t xml:space="preserve"> Venegas Chacón, Jefe a.i. del Departamento Auditor</w:t>
      </w:r>
      <w:r w:rsidR="001558AE" w:rsidRPr="005C0FA7">
        <w:t>í</w:t>
      </w:r>
      <w:r w:rsidR="00553CC6" w:rsidRPr="005C0FA7">
        <w:t>a de Programas, MBA. Alba Camacho de la O, Jefe del Departamento de Auditoría de Evaluación y Cumplimiento y el Lic. Zenén Matarrita Meza, encargado del estudio. </w:t>
      </w:r>
    </w:p>
    <w:p w14:paraId="5F683E4A" w14:textId="77777777" w:rsidR="00553CC6" w:rsidRPr="005C0FA7" w:rsidRDefault="00553CC6" w:rsidP="00553CC6">
      <w:pPr>
        <w:jc w:val="both"/>
      </w:pPr>
    </w:p>
    <w:p w14:paraId="2488B372" w14:textId="77777777" w:rsidR="00493577" w:rsidRPr="005C0FA7" w:rsidRDefault="00553CC6" w:rsidP="00553CC6">
      <w:pPr>
        <w:jc w:val="both"/>
      </w:pPr>
      <w:r w:rsidRPr="005C0FA7">
        <w:t>Cabe indicar que los personeros de la Direcci</w:t>
      </w:r>
      <w:r w:rsidR="002F02E9" w:rsidRPr="005C0FA7">
        <w:t>ón de Programas de E</w:t>
      </w:r>
      <w:r w:rsidRPr="005C0FA7">
        <w:t>quidad, acordaron en no emitir criterio</w:t>
      </w:r>
      <w:r w:rsidR="002F02E9" w:rsidRPr="005C0FA7">
        <w:t xml:space="preserve"> sobre el informe borrador</w:t>
      </w:r>
      <w:r w:rsidRPr="005C0FA7">
        <w:t xml:space="preserve"> originalmente, en virtud que la Contraloría General de la República se encontraba realizando un estudio a la DPE, por lo que se </w:t>
      </w:r>
      <w:r w:rsidR="002F02E9" w:rsidRPr="005C0FA7">
        <w:t>abstuvieron</w:t>
      </w:r>
      <w:r w:rsidRPr="005C0FA7">
        <w:t xml:space="preserve"> de brindar </w:t>
      </w:r>
      <w:r w:rsidR="002F02E9" w:rsidRPr="005C0FA7">
        <w:t xml:space="preserve">observaciones. </w:t>
      </w:r>
    </w:p>
    <w:p w14:paraId="0DACDBA5" w14:textId="77777777" w:rsidR="00493577" w:rsidRPr="005C0FA7" w:rsidRDefault="00493577" w:rsidP="00553CC6">
      <w:pPr>
        <w:jc w:val="both"/>
      </w:pPr>
    </w:p>
    <w:p w14:paraId="3D2A761F" w14:textId="7969B0CF" w:rsidR="00553CC6" w:rsidRPr="005C0FA7" w:rsidRDefault="00493577" w:rsidP="00553CC6">
      <w:pPr>
        <w:jc w:val="both"/>
      </w:pPr>
      <w:r w:rsidRPr="005C0FA7">
        <w:t>Por otra parte y para finiquitar el proceso de comunicación de resultados</w:t>
      </w:r>
      <w:r w:rsidR="004B4D40" w:rsidRPr="005C0FA7">
        <w:t>,</w:t>
      </w:r>
      <w:r w:rsidRPr="005C0FA7">
        <w:t xml:space="preserve"> esta Dirección de Auditoría Interna evaluó las disposiciones emitidas por el Ente Contralor en el </w:t>
      </w:r>
      <w:r w:rsidR="002F02E9" w:rsidRPr="005C0FA7">
        <w:t>informe DFOE-SOC-IF-00026-2018 del 21 de diciembre de 2018</w:t>
      </w:r>
      <w:r w:rsidR="00516CE8" w:rsidRPr="005C0FA7">
        <w:t xml:space="preserve">, </w:t>
      </w:r>
      <w:r w:rsidR="00E97B25" w:rsidRPr="005C0FA7">
        <w:t xml:space="preserve">con el </w:t>
      </w:r>
      <w:r w:rsidR="00516CE8" w:rsidRPr="005C0FA7">
        <w:t xml:space="preserve">fin de unificar criterios y no crear duplicidad </w:t>
      </w:r>
      <w:r w:rsidRPr="005C0FA7">
        <w:t>d</w:t>
      </w:r>
      <w:r w:rsidR="004B4D40" w:rsidRPr="005C0FA7">
        <w:t>e esfuerzos.</w:t>
      </w:r>
      <w:r w:rsidRPr="005C0FA7">
        <w:t xml:space="preserve"> </w:t>
      </w:r>
      <w:r w:rsidR="004B4D40" w:rsidRPr="005C0FA7">
        <w:t>D</w:t>
      </w:r>
      <w:r w:rsidRPr="005C0FA7">
        <w:t xml:space="preserve">icho análisis está referenciado en </w:t>
      </w:r>
      <w:r w:rsidR="004B4D40" w:rsidRPr="005C0FA7">
        <w:t xml:space="preserve">aquellas </w:t>
      </w:r>
      <w:r w:rsidRPr="005C0FA7">
        <w:t>recomendaciones</w:t>
      </w:r>
      <w:r w:rsidR="004B4D40" w:rsidRPr="005C0FA7">
        <w:t xml:space="preserve"> </w:t>
      </w:r>
      <w:r w:rsidR="00BC5C79" w:rsidRPr="005C0FA7">
        <w:t>por medio de</w:t>
      </w:r>
      <w:r w:rsidR="004B4D40" w:rsidRPr="005C0FA7">
        <w:t xml:space="preserve"> las cuales</w:t>
      </w:r>
      <w:r w:rsidR="00E97B25" w:rsidRPr="005C0FA7">
        <w:t xml:space="preserve"> es factible abordar las mejoras</w:t>
      </w:r>
      <w:r w:rsidR="00516CE8" w:rsidRPr="005C0FA7">
        <w:t xml:space="preserve">. </w:t>
      </w:r>
      <w:r w:rsidR="002F02E9" w:rsidRPr="005C0FA7">
        <w:t xml:space="preserve"> </w:t>
      </w:r>
    </w:p>
    <w:p w14:paraId="49A66A0E" w14:textId="77777777" w:rsidR="007564CB" w:rsidRDefault="007564CB" w:rsidP="00553CC6">
      <w:pPr>
        <w:jc w:val="both"/>
      </w:pPr>
    </w:p>
    <w:p w14:paraId="1ABD409E" w14:textId="10CD5E3C" w:rsidR="00BC5C79" w:rsidRDefault="007564CB" w:rsidP="00553CC6">
      <w:pPr>
        <w:jc w:val="both"/>
      </w:pPr>
      <w:r>
        <w:t>A</w:t>
      </w:r>
      <w:r w:rsidR="00BC5C79" w:rsidRPr="005C0FA7">
        <w:t>quellas recomendaciones que no cuentan con dicha referencia, deberán ser asumidas por la Administración, en cuyo caso corresponderá establecer un cronograma para su debido cumplimiento.</w:t>
      </w:r>
    </w:p>
    <w:p w14:paraId="31A4D33A" w14:textId="77777777" w:rsidR="007564CB" w:rsidRDefault="007564CB" w:rsidP="00553CC6">
      <w:pPr>
        <w:jc w:val="both"/>
      </w:pPr>
    </w:p>
    <w:p w14:paraId="63807E61" w14:textId="6C226842" w:rsidR="007F7AED" w:rsidRPr="00EE5DC2" w:rsidRDefault="007F7AED" w:rsidP="00553CC6">
      <w:pPr>
        <w:jc w:val="both"/>
      </w:pPr>
      <w:r w:rsidRPr="00EE5DC2">
        <w:t>Mediante correo del día 14 de febrero de 2019 se remitió el informe borrador a la MBA. Florencia Rodríguez Martín</w:t>
      </w:r>
      <w:r w:rsidR="00260657" w:rsidRPr="00EE5DC2">
        <w:t>, Subdirectora de la Dirección Financiera</w:t>
      </w:r>
      <w:r w:rsidRPr="00EE5DC2">
        <w:t xml:space="preserve"> para que emitiera sus observaciones en lo concordante a la recomendación No. 12 del presente informe.</w:t>
      </w:r>
    </w:p>
    <w:p w14:paraId="391B37D9" w14:textId="77777777" w:rsidR="007F7AED" w:rsidRPr="00EE5DC2" w:rsidRDefault="007F7AED" w:rsidP="00553CC6">
      <w:pPr>
        <w:jc w:val="both"/>
      </w:pPr>
    </w:p>
    <w:p w14:paraId="6A16BE5D" w14:textId="550441CE" w:rsidR="007564CB" w:rsidRPr="00EE5DC2" w:rsidRDefault="007F7AED" w:rsidP="007564CB">
      <w:pPr>
        <w:jc w:val="both"/>
        <w:rPr>
          <w:b/>
          <w:bCs/>
        </w:rPr>
      </w:pPr>
      <w:r w:rsidRPr="00EE5DC2">
        <w:t xml:space="preserve">Por otro lado, también a través del correo con fecha 14 de febrero de 2019, se remitió el informe borrador a la MBA. </w:t>
      </w:r>
      <w:r w:rsidR="00A330D6" w:rsidRPr="00EE5DC2">
        <w:t>Yaxinia</w:t>
      </w:r>
      <w:r w:rsidRPr="00EE5DC2">
        <w:t xml:space="preserve"> Díaz Mendoza</w:t>
      </w:r>
      <w:r w:rsidR="00DE1022" w:rsidRPr="00EE5DC2">
        <w:t>, Directora de Recursos Humando</w:t>
      </w:r>
      <w:r w:rsidRPr="00EE5DC2">
        <w:t xml:space="preserve"> para que se pronunciara respecto a la recomendación No. 13</w:t>
      </w:r>
      <w:r w:rsidR="00DE1022" w:rsidRPr="00EE5DC2">
        <w:t>, el cual</w:t>
      </w:r>
      <w:r w:rsidR="00260657" w:rsidRPr="00EE5DC2">
        <w:t>,</w:t>
      </w:r>
      <w:r w:rsidR="00DE1022" w:rsidRPr="00EE5DC2">
        <w:t xml:space="preserve"> según evidencia presentada la recomendación se encuentra cumplida.</w:t>
      </w:r>
      <w:r w:rsidR="007564CB" w:rsidRPr="00EE5DC2">
        <w:t xml:space="preserve"> Ver anexo No. </w:t>
      </w:r>
      <w:r w:rsidR="00A408BA" w:rsidRPr="00EE5DC2">
        <w:t>2</w:t>
      </w:r>
    </w:p>
    <w:p w14:paraId="4ECC3101" w14:textId="77777777" w:rsidR="007564CB" w:rsidRDefault="007564CB" w:rsidP="00453D12">
      <w:pPr>
        <w:jc w:val="both"/>
        <w:rPr>
          <w:b/>
        </w:rPr>
      </w:pPr>
    </w:p>
    <w:p w14:paraId="5B0B8602" w14:textId="1AE8B3E6" w:rsidR="00DE1022" w:rsidRPr="00EE5DC2" w:rsidRDefault="00DE1022" w:rsidP="00453D12">
      <w:pPr>
        <w:jc w:val="both"/>
      </w:pPr>
      <w:r w:rsidRPr="00EE5DC2">
        <w:lastRenderedPageBreak/>
        <w:t xml:space="preserve">Por último el día 28 de febrero de 2019 a las 11:00 am, en la oficina del Despacho de la Viceministra de Planificación Institucional y Coordinación Regional, se presentó el informe en cuestión, estando presente: </w:t>
      </w:r>
      <w:r w:rsidR="00260657" w:rsidRPr="00EE5DC2">
        <w:t xml:space="preserve">la </w:t>
      </w:r>
      <w:r w:rsidRPr="00EE5DC2">
        <w:t xml:space="preserve">Lcda. Tatiana Viquez </w:t>
      </w:r>
      <w:r w:rsidR="00A330D6" w:rsidRPr="00EE5DC2">
        <w:t>Mórux</w:t>
      </w:r>
      <w:r w:rsidRPr="00EE5DC2">
        <w:t xml:space="preserve">, asesora del Despacho del Ministro, Lic. Leonardo Sánchez Hernández, Director de </w:t>
      </w:r>
      <w:r w:rsidR="00260657" w:rsidRPr="00EE5DC2">
        <w:t xml:space="preserve">la </w:t>
      </w:r>
      <w:r w:rsidRPr="00EE5DC2">
        <w:t>DPE, Licda Karol Zúñiga Ulloa, del Despacho del Viceministerio de Planificación Institucional, Licda. Dafne Castro Quesada</w:t>
      </w:r>
      <w:r w:rsidR="00260657" w:rsidRPr="00EE5DC2">
        <w:t>, Despacho Viceminis</w:t>
      </w:r>
      <w:r w:rsidR="00D40A61" w:rsidRPr="00EE5DC2">
        <w:t>terio Administrativo, MBA. Gaudi</w:t>
      </w:r>
      <w:r w:rsidR="00260657" w:rsidRPr="00EE5DC2">
        <w:t>n Venegas Chacón, jefe, a.i. del Departamento Auditoría de Programa y el Lic. Zenén Matarrita Meza, encargado del estudio</w:t>
      </w:r>
      <w:r w:rsidR="00971373" w:rsidRPr="00EE5DC2">
        <w:t>.</w:t>
      </w:r>
    </w:p>
    <w:p w14:paraId="031C6D96" w14:textId="77777777" w:rsidR="00971373" w:rsidRPr="00EE5DC2" w:rsidRDefault="00971373" w:rsidP="00453D12">
      <w:pPr>
        <w:jc w:val="both"/>
      </w:pPr>
    </w:p>
    <w:p w14:paraId="5A3769F5" w14:textId="48DE46F0" w:rsidR="00971373" w:rsidRPr="00EE5DC2" w:rsidRDefault="00971373" w:rsidP="00453D12">
      <w:pPr>
        <w:jc w:val="both"/>
      </w:pPr>
      <w:r w:rsidRPr="00EE5DC2">
        <w:t>Finalmente, para una mejor comprensión, ver el anexo 2 con las observaciones realizadas por la Administración y el análisis rea</w:t>
      </w:r>
      <w:r w:rsidR="00EE5DC2">
        <w:t>lizado por la Auditoría Interna</w:t>
      </w:r>
      <w:r w:rsidRPr="00EE5DC2">
        <w:t>.</w:t>
      </w:r>
    </w:p>
    <w:p w14:paraId="74A60A00" w14:textId="77777777" w:rsidR="00453D12" w:rsidRPr="00DF7EF8" w:rsidRDefault="00314016" w:rsidP="00DF7EF8">
      <w:pPr>
        <w:pStyle w:val="Ttulo2"/>
        <w:jc w:val="both"/>
        <w:rPr>
          <w:sz w:val="24"/>
          <w:szCs w:val="24"/>
        </w:rPr>
      </w:pPr>
      <w:bookmarkStart w:id="30" w:name="_Toc3552517"/>
      <w:r w:rsidRPr="00DF7EF8">
        <w:rPr>
          <w:sz w:val="24"/>
          <w:szCs w:val="24"/>
        </w:rPr>
        <w:t>5</w:t>
      </w:r>
      <w:r w:rsidR="00453D12" w:rsidRPr="00DF7EF8">
        <w:rPr>
          <w:sz w:val="24"/>
          <w:szCs w:val="24"/>
        </w:rPr>
        <w:t>.4 Trámite del informe</w:t>
      </w:r>
      <w:bookmarkEnd w:id="30"/>
      <w:r w:rsidR="00453D12" w:rsidRPr="00DF7EF8">
        <w:rPr>
          <w:sz w:val="24"/>
          <w:szCs w:val="24"/>
        </w:rPr>
        <w:t xml:space="preserve"> </w:t>
      </w:r>
    </w:p>
    <w:p w14:paraId="20DA9398" w14:textId="77777777" w:rsidR="001558AE" w:rsidRDefault="00453D12" w:rsidP="00CD444B">
      <w:pPr>
        <w:autoSpaceDE w:val="0"/>
        <w:autoSpaceDN w:val="0"/>
        <w:adjustRightInd w:val="0"/>
        <w:jc w:val="both"/>
        <w:rPr>
          <w:lang w:eastAsia="es-ES"/>
        </w:rPr>
      </w:pPr>
      <w:r w:rsidRPr="005C0FA7">
        <w:t xml:space="preserve">Este informe debe seguir el trámite dispuesto en el artículo 36 de la Ley General de Control Interno. </w:t>
      </w:r>
      <w:r w:rsidRPr="005C0FA7">
        <w:rPr>
          <w:lang w:eastAsia="es-ES"/>
        </w:rPr>
        <w:t xml:space="preserve">Cada una de las dependencias a las que se dirijan recomendaciones en este informe, debe enviar a esta Auditoría Interna un cronograma detallado, con las acciones y fechas en que serán cumplidas. </w:t>
      </w:r>
    </w:p>
    <w:p w14:paraId="779BC0E9" w14:textId="77777777" w:rsidR="00A408BA" w:rsidRPr="005C0FA7" w:rsidRDefault="00A408BA" w:rsidP="00CD444B">
      <w:pPr>
        <w:autoSpaceDE w:val="0"/>
        <w:autoSpaceDN w:val="0"/>
        <w:adjustRightInd w:val="0"/>
        <w:jc w:val="both"/>
        <w:rPr>
          <w:lang w:eastAsia="es-ES"/>
        </w:rPr>
      </w:pPr>
    </w:p>
    <w:p w14:paraId="7C5CEFC7" w14:textId="77777777" w:rsidR="00453D12" w:rsidRPr="005C0FA7" w:rsidRDefault="00453D12" w:rsidP="00CD444B">
      <w:pPr>
        <w:autoSpaceDE w:val="0"/>
        <w:autoSpaceDN w:val="0"/>
        <w:adjustRightInd w:val="0"/>
        <w:jc w:val="both"/>
      </w:pPr>
      <w:r w:rsidRPr="005C0FA7">
        <w:rPr>
          <w:lang w:eastAsia="es-ES"/>
        </w:rPr>
        <w:t xml:space="preserve">En caso de incumplimiento injustificado de las recomendaciones de un informe de Auditoría, se aplicarán las sanciones indicadas en los artículos </w:t>
      </w:r>
      <w:r w:rsidR="00270604" w:rsidRPr="005C0FA7">
        <w:rPr>
          <w:lang w:eastAsia="es-ES"/>
        </w:rPr>
        <w:t xml:space="preserve">54 y </w:t>
      </w:r>
      <w:r w:rsidRPr="005C0FA7">
        <w:rPr>
          <w:lang w:eastAsia="es-ES"/>
        </w:rPr>
        <w:t>61 del Reglamento Autónomo de Servicios del MEP, modificados mediante Decreto Ejecutivo 36028-MEP del 3 de junio del 2010</w:t>
      </w:r>
      <w:r w:rsidRPr="005C0FA7">
        <w:t xml:space="preserve">. </w:t>
      </w:r>
    </w:p>
    <w:p w14:paraId="66E5EF39" w14:textId="77777777" w:rsidR="00453D12" w:rsidRPr="00DF7EF8" w:rsidRDefault="00314016" w:rsidP="00DF7EF8">
      <w:pPr>
        <w:pStyle w:val="Ttulo1"/>
        <w:jc w:val="both"/>
        <w:rPr>
          <w:rFonts w:ascii="Times New Roman" w:hAnsi="Times New Roman" w:cs="Times New Roman"/>
          <w:b/>
          <w:color w:val="auto"/>
          <w:sz w:val="24"/>
          <w:szCs w:val="24"/>
          <w:lang w:val="es-CR"/>
        </w:rPr>
      </w:pPr>
      <w:bookmarkStart w:id="31" w:name="_Toc3552518"/>
      <w:r w:rsidRPr="00DF7EF8">
        <w:rPr>
          <w:rFonts w:ascii="Times New Roman" w:hAnsi="Times New Roman" w:cs="Times New Roman"/>
          <w:b/>
          <w:color w:val="auto"/>
          <w:sz w:val="24"/>
          <w:szCs w:val="24"/>
          <w:lang w:val="es-CR"/>
        </w:rPr>
        <w:t>6</w:t>
      </w:r>
      <w:r w:rsidR="00453D12" w:rsidRPr="00DF7EF8">
        <w:rPr>
          <w:rFonts w:ascii="Times New Roman" w:hAnsi="Times New Roman" w:cs="Times New Roman"/>
          <w:b/>
          <w:color w:val="auto"/>
          <w:sz w:val="24"/>
          <w:szCs w:val="24"/>
          <w:lang w:val="es-CR"/>
        </w:rPr>
        <w:t>. NOMBRES Y FIRMAS</w:t>
      </w:r>
      <w:bookmarkEnd w:id="31"/>
      <w:r w:rsidR="00453D12" w:rsidRPr="00DF7EF8">
        <w:rPr>
          <w:rFonts w:ascii="Times New Roman" w:hAnsi="Times New Roman" w:cs="Times New Roman"/>
          <w:b/>
          <w:color w:val="auto"/>
          <w:sz w:val="24"/>
          <w:szCs w:val="24"/>
          <w:lang w:val="es-CR"/>
        </w:rPr>
        <w:t xml:space="preserve"> </w:t>
      </w:r>
    </w:p>
    <w:tbl>
      <w:tblPr>
        <w:tblW w:w="0" w:type="auto"/>
        <w:tblLook w:val="04A0" w:firstRow="1" w:lastRow="0" w:firstColumn="1" w:lastColumn="0" w:noHBand="0" w:noVBand="1"/>
      </w:tblPr>
      <w:tblGrid>
        <w:gridCol w:w="4414"/>
        <w:gridCol w:w="4414"/>
      </w:tblGrid>
      <w:tr w:rsidR="001707C9" w:rsidRPr="00546EB1" w14:paraId="00B2218C" w14:textId="77777777" w:rsidTr="00A330D6">
        <w:tc>
          <w:tcPr>
            <w:tcW w:w="4414" w:type="dxa"/>
          </w:tcPr>
          <w:p w14:paraId="7719253B" w14:textId="77777777" w:rsidR="00E82752" w:rsidRDefault="00E82752" w:rsidP="0098202E">
            <w:pPr>
              <w:jc w:val="center"/>
              <w:rPr>
                <w:lang w:eastAsia="es-ES"/>
              </w:rPr>
            </w:pPr>
          </w:p>
          <w:p w14:paraId="7FC5619B" w14:textId="77777777" w:rsidR="00CD444B" w:rsidRPr="00546EB1" w:rsidRDefault="00CD444B" w:rsidP="0098202E">
            <w:pPr>
              <w:jc w:val="center"/>
              <w:rPr>
                <w:lang w:eastAsia="es-ES"/>
              </w:rPr>
            </w:pPr>
          </w:p>
          <w:p w14:paraId="523E7E68" w14:textId="77777777" w:rsidR="00453D12" w:rsidRPr="00546EB1" w:rsidRDefault="00453D12" w:rsidP="00CD444B">
            <w:pPr>
              <w:rPr>
                <w:lang w:eastAsia="es-ES"/>
              </w:rPr>
            </w:pPr>
            <w:r w:rsidRPr="00546EB1">
              <w:rPr>
                <w:lang w:eastAsia="es-ES"/>
              </w:rPr>
              <w:t>___________________________</w:t>
            </w:r>
            <w:r w:rsidR="00C6042A" w:rsidRPr="00546EB1">
              <w:rPr>
                <w:lang w:eastAsia="es-ES"/>
              </w:rPr>
              <w:t xml:space="preserve">    </w:t>
            </w:r>
          </w:p>
          <w:p w14:paraId="42842DFA" w14:textId="77777777" w:rsidR="00453D12" w:rsidRPr="00546EB1" w:rsidRDefault="00453D12" w:rsidP="00CD444B">
            <w:pPr>
              <w:rPr>
                <w:lang w:eastAsia="es-ES"/>
              </w:rPr>
            </w:pPr>
            <w:r w:rsidRPr="00546EB1">
              <w:rPr>
                <w:lang w:eastAsia="es-ES"/>
              </w:rPr>
              <w:t>Lic.</w:t>
            </w:r>
            <w:r w:rsidR="00C6042A" w:rsidRPr="00546EB1">
              <w:rPr>
                <w:lang w:eastAsia="es-ES"/>
              </w:rPr>
              <w:t xml:space="preserve"> Zenén Matarrita Meza</w:t>
            </w:r>
          </w:p>
          <w:p w14:paraId="63E4B39F" w14:textId="77777777" w:rsidR="00453D12" w:rsidRPr="00546EB1" w:rsidRDefault="00453D12" w:rsidP="00CD444B">
            <w:pPr>
              <w:rPr>
                <w:lang w:eastAsia="es-ES"/>
              </w:rPr>
            </w:pPr>
            <w:r w:rsidRPr="00546EB1">
              <w:rPr>
                <w:lang w:eastAsia="es-ES"/>
              </w:rPr>
              <w:t>Auditor Encargado</w:t>
            </w:r>
          </w:p>
        </w:tc>
        <w:tc>
          <w:tcPr>
            <w:tcW w:w="4414" w:type="dxa"/>
          </w:tcPr>
          <w:p w14:paraId="57CBD8DD" w14:textId="77777777" w:rsidR="00CD444B" w:rsidRPr="00546EB1" w:rsidRDefault="00CD444B" w:rsidP="0098202E">
            <w:pPr>
              <w:jc w:val="center"/>
              <w:rPr>
                <w:lang w:eastAsia="es-ES"/>
              </w:rPr>
            </w:pPr>
          </w:p>
          <w:p w14:paraId="65C78482" w14:textId="77777777" w:rsidR="00E82752" w:rsidRPr="00546EB1" w:rsidRDefault="00E82752" w:rsidP="0098202E">
            <w:pPr>
              <w:jc w:val="center"/>
              <w:rPr>
                <w:lang w:eastAsia="es-ES"/>
              </w:rPr>
            </w:pPr>
          </w:p>
          <w:p w14:paraId="0175B4C0" w14:textId="15DF3D8A" w:rsidR="00453D12" w:rsidRPr="00546EB1" w:rsidRDefault="00453D12" w:rsidP="007C1E0F">
            <w:pPr>
              <w:rPr>
                <w:lang w:eastAsia="es-ES"/>
              </w:rPr>
            </w:pPr>
            <w:r w:rsidRPr="00546EB1">
              <w:rPr>
                <w:lang w:eastAsia="es-ES"/>
              </w:rPr>
              <w:t>_________________________</w:t>
            </w:r>
          </w:p>
          <w:p w14:paraId="1BA3E505" w14:textId="6AD0A2F4" w:rsidR="00453D12" w:rsidRPr="00546EB1" w:rsidRDefault="00294C7E" w:rsidP="00CD444B">
            <w:pPr>
              <w:rPr>
                <w:lang w:eastAsia="es-ES"/>
              </w:rPr>
            </w:pPr>
            <w:r w:rsidRPr="00546EB1">
              <w:rPr>
                <w:lang w:eastAsia="es-ES"/>
              </w:rPr>
              <w:t>MBA.</w:t>
            </w:r>
            <w:r w:rsidR="00097239" w:rsidRPr="00546EB1">
              <w:rPr>
                <w:lang w:eastAsia="es-ES"/>
              </w:rPr>
              <w:t xml:space="preserve"> </w:t>
            </w:r>
            <w:r w:rsidR="00A330D6">
              <w:rPr>
                <w:lang w:eastAsia="es-ES"/>
              </w:rPr>
              <w:t>Gaudin Venegas Chacón</w:t>
            </w:r>
            <w:r w:rsidR="00453D12" w:rsidRPr="00546EB1">
              <w:rPr>
                <w:lang w:eastAsia="es-ES"/>
              </w:rPr>
              <w:t xml:space="preserve"> </w:t>
            </w:r>
          </w:p>
          <w:p w14:paraId="7995BE4A" w14:textId="03683CD9" w:rsidR="00453D12" w:rsidRPr="00546EB1" w:rsidRDefault="00A330D6" w:rsidP="00CD444B">
            <w:pPr>
              <w:rPr>
                <w:lang w:eastAsia="es-ES"/>
              </w:rPr>
            </w:pPr>
            <w:r>
              <w:rPr>
                <w:lang w:eastAsia="es-ES"/>
              </w:rPr>
              <w:t>Jefe a.i. Depto. Auditoría de Programas</w:t>
            </w:r>
          </w:p>
        </w:tc>
      </w:tr>
      <w:tr w:rsidR="001707C9" w:rsidRPr="00546EB1" w14:paraId="2B294B65" w14:textId="77777777" w:rsidTr="00A330D6">
        <w:tc>
          <w:tcPr>
            <w:tcW w:w="4414" w:type="dxa"/>
          </w:tcPr>
          <w:p w14:paraId="2187EA97" w14:textId="77777777" w:rsidR="00A330D6" w:rsidRDefault="00A330D6" w:rsidP="00CD444B">
            <w:pPr>
              <w:rPr>
                <w:lang w:eastAsia="es-ES"/>
              </w:rPr>
            </w:pPr>
          </w:p>
          <w:p w14:paraId="20A37A5C" w14:textId="77777777" w:rsidR="00A330D6" w:rsidRDefault="00A330D6" w:rsidP="00CD444B">
            <w:pPr>
              <w:rPr>
                <w:lang w:eastAsia="es-ES"/>
              </w:rPr>
            </w:pPr>
          </w:p>
          <w:p w14:paraId="4F64EB81" w14:textId="6480EB2F" w:rsidR="00453D12" w:rsidRDefault="00A330D6" w:rsidP="00CD444B">
            <w:pPr>
              <w:rPr>
                <w:lang w:eastAsia="es-ES"/>
              </w:rPr>
            </w:pPr>
            <w:r>
              <w:rPr>
                <w:lang w:eastAsia="es-ES"/>
              </w:rPr>
              <w:t>_______________________</w:t>
            </w:r>
          </w:p>
          <w:p w14:paraId="7D88BF9B" w14:textId="77777777" w:rsidR="00A330D6" w:rsidRPr="00546EB1" w:rsidRDefault="00A330D6" w:rsidP="00A330D6">
            <w:pPr>
              <w:rPr>
                <w:lang w:eastAsia="es-ES"/>
              </w:rPr>
            </w:pPr>
            <w:r w:rsidRPr="00546EB1">
              <w:rPr>
                <w:lang w:eastAsia="es-ES"/>
              </w:rPr>
              <w:t xml:space="preserve">MBA. Sarita Pérez Umaña </w:t>
            </w:r>
          </w:p>
          <w:p w14:paraId="6DAB81F0" w14:textId="304888E3" w:rsidR="00A330D6" w:rsidRDefault="00A330D6" w:rsidP="00A330D6">
            <w:pPr>
              <w:rPr>
                <w:lang w:eastAsia="es-ES"/>
              </w:rPr>
            </w:pPr>
            <w:r w:rsidRPr="00546EB1">
              <w:rPr>
                <w:lang w:eastAsia="es-ES"/>
              </w:rPr>
              <w:t>SUBAUDITORA INTERNA a.i</w:t>
            </w:r>
            <w:r>
              <w:rPr>
                <w:lang w:eastAsia="es-ES"/>
              </w:rPr>
              <w:t>.</w:t>
            </w:r>
          </w:p>
          <w:p w14:paraId="4CBDAF15" w14:textId="77777777" w:rsidR="00A330D6" w:rsidRPr="00546EB1" w:rsidRDefault="00A330D6" w:rsidP="00CD444B">
            <w:pPr>
              <w:rPr>
                <w:lang w:eastAsia="es-ES"/>
              </w:rPr>
            </w:pPr>
          </w:p>
        </w:tc>
        <w:tc>
          <w:tcPr>
            <w:tcW w:w="4414" w:type="dxa"/>
          </w:tcPr>
          <w:p w14:paraId="29184817" w14:textId="77777777" w:rsidR="00A330D6" w:rsidRDefault="00A330D6" w:rsidP="00A330D6">
            <w:pPr>
              <w:rPr>
                <w:lang w:eastAsia="es-ES"/>
              </w:rPr>
            </w:pPr>
          </w:p>
          <w:p w14:paraId="4E4DFB03" w14:textId="77777777" w:rsidR="00A330D6" w:rsidRDefault="00A330D6" w:rsidP="00A330D6">
            <w:pPr>
              <w:rPr>
                <w:lang w:eastAsia="es-ES"/>
              </w:rPr>
            </w:pPr>
          </w:p>
          <w:p w14:paraId="63F44690" w14:textId="2D43DE7A" w:rsidR="00A330D6" w:rsidRDefault="00A330D6" w:rsidP="00A330D6">
            <w:pPr>
              <w:rPr>
                <w:lang w:eastAsia="es-ES"/>
              </w:rPr>
            </w:pPr>
            <w:r>
              <w:rPr>
                <w:lang w:eastAsia="es-ES"/>
              </w:rPr>
              <w:t>_________________________</w:t>
            </w:r>
          </w:p>
          <w:p w14:paraId="5061CC18" w14:textId="53D4E314" w:rsidR="00A330D6" w:rsidRPr="00546EB1" w:rsidRDefault="00A330D6" w:rsidP="00A330D6">
            <w:pPr>
              <w:rPr>
                <w:lang w:eastAsia="es-ES"/>
              </w:rPr>
            </w:pPr>
            <w:r>
              <w:rPr>
                <w:lang w:eastAsia="es-ES"/>
              </w:rPr>
              <w:t>M</w:t>
            </w:r>
            <w:r w:rsidRPr="00546EB1">
              <w:rPr>
                <w:lang w:eastAsia="es-ES"/>
              </w:rPr>
              <w:t>BA. Edier Navarro Esquivel</w:t>
            </w:r>
          </w:p>
          <w:p w14:paraId="52DF84BE" w14:textId="77777777" w:rsidR="00A330D6" w:rsidRPr="00546EB1" w:rsidRDefault="00A330D6" w:rsidP="00A330D6">
            <w:pPr>
              <w:rPr>
                <w:lang w:eastAsia="es-ES"/>
              </w:rPr>
            </w:pPr>
            <w:r w:rsidRPr="00546EB1">
              <w:rPr>
                <w:lang w:eastAsia="es-ES"/>
              </w:rPr>
              <w:t>AUDITOR INTERNO</w:t>
            </w:r>
          </w:p>
          <w:p w14:paraId="23F28D73" w14:textId="77777777" w:rsidR="00453D12" w:rsidRPr="00546EB1" w:rsidRDefault="00453D12" w:rsidP="0098202E">
            <w:pPr>
              <w:jc w:val="center"/>
              <w:rPr>
                <w:lang w:eastAsia="es-ES"/>
              </w:rPr>
            </w:pPr>
          </w:p>
        </w:tc>
      </w:tr>
    </w:tbl>
    <w:p w14:paraId="28545C61" w14:textId="77777777" w:rsidR="00971373" w:rsidRDefault="00971373" w:rsidP="00516CE8">
      <w:pPr>
        <w:pStyle w:val="Sinespaciado"/>
        <w:jc w:val="right"/>
        <w:rPr>
          <w:b/>
          <w:sz w:val="22"/>
          <w:szCs w:val="22"/>
          <w:lang w:val="es-CR" w:eastAsia="es-ES"/>
        </w:rPr>
      </w:pPr>
    </w:p>
    <w:p w14:paraId="6D50F065" w14:textId="77777777" w:rsidR="00EE5DC2" w:rsidRDefault="00EE5DC2" w:rsidP="00516CE8">
      <w:pPr>
        <w:pStyle w:val="Sinespaciado"/>
        <w:jc w:val="right"/>
        <w:rPr>
          <w:b/>
          <w:sz w:val="22"/>
          <w:szCs w:val="22"/>
          <w:lang w:val="es-CR" w:eastAsia="es-ES"/>
        </w:rPr>
      </w:pPr>
      <w:r>
        <w:rPr>
          <w:b/>
          <w:sz w:val="22"/>
          <w:szCs w:val="22"/>
          <w:lang w:val="es-CR" w:eastAsia="es-ES"/>
        </w:rPr>
        <w:t xml:space="preserve">  </w:t>
      </w:r>
    </w:p>
    <w:p w14:paraId="43B4D507" w14:textId="77777777" w:rsidR="00EE5DC2" w:rsidRDefault="00EE5DC2" w:rsidP="00516CE8">
      <w:pPr>
        <w:pStyle w:val="Sinespaciado"/>
        <w:jc w:val="right"/>
        <w:rPr>
          <w:b/>
          <w:sz w:val="22"/>
          <w:szCs w:val="22"/>
          <w:lang w:val="es-CR" w:eastAsia="es-ES"/>
        </w:rPr>
      </w:pPr>
    </w:p>
    <w:p w14:paraId="534EC401" w14:textId="55233BAA" w:rsidR="00802328" w:rsidRDefault="00F97470" w:rsidP="00516CE8">
      <w:pPr>
        <w:pStyle w:val="Sinespaciado"/>
        <w:jc w:val="right"/>
        <w:rPr>
          <w:b/>
          <w:sz w:val="22"/>
          <w:szCs w:val="22"/>
          <w:lang w:val="es-CR" w:eastAsia="es-ES"/>
        </w:rPr>
      </w:pPr>
      <w:r w:rsidRPr="00546EB1">
        <w:rPr>
          <w:b/>
          <w:sz w:val="22"/>
          <w:szCs w:val="22"/>
          <w:lang w:val="es-CR" w:eastAsia="es-ES"/>
        </w:rPr>
        <w:t xml:space="preserve">Estudio N° </w:t>
      </w:r>
      <w:r w:rsidR="00C6042A" w:rsidRPr="00546EB1">
        <w:rPr>
          <w:b/>
          <w:sz w:val="22"/>
          <w:szCs w:val="22"/>
          <w:lang w:val="es-CR" w:eastAsia="es-ES"/>
        </w:rPr>
        <w:t>21</w:t>
      </w:r>
      <w:r w:rsidRPr="00546EB1">
        <w:rPr>
          <w:b/>
          <w:sz w:val="22"/>
          <w:szCs w:val="22"/>
          <w:lang w:val="es-CR" w:eastAsia="es-ES"/>
        </w:rPr>
        <w:t>-1</w:t>
      </w:r>
      <w:r w:rsidR="00C6042A" w:rsidRPr="00546EB1">
        <w:rPr>
          <w:b/>
          <w:sz w:val="22"/>
          <w:szCs w:val="22"/>
          <w:lang w:val="es-CR" w:eastAsia="es-ES"/>
        </w:rPr>
        <w:t>7</w:t>
      </w:r>
    </w:p>
    <w:p w14:paraId="1F5D6F87" w14:textId="77777777" w:rsidR="00A330D6" w:rsidRDefault="00A330D6" w:rsidP="00127E65">
      <w:pPr>
        <w:pStyle w:val="Sinespaciado"/>
        <w:rPr>
          <w:b/>
          <w:lang w:val="es-CR" w:eastAsia="es-ES"/>
        </w:rPr>
      </w:pPr>
    </w:p>
    <w:p w14:paraId="7D1CF030" w14:textId="77777777" w:rsidR="00971373" w:rsidRDefault="00971373" w:rsidP="00971373">
      <w:pPr>
        <w:pStyle w:val="Ttulo1"/>
        <w:jc w:val="both"/>
        <w:rPr>
          <w:rFonts w:ascii="Times New Roman" w:hAnsi="Times New Roman" w:cs="Times New Roman"/>
          <w:b/>
          <w:color w:val="auto"/>
          <w:sz w:val="24"/>
          <w:szCs w:val="24"/>
          <w:lang w:val="es-CR" w:eastAsia="es-ES"/>
        </w:rPr>
      </w:pPr>
      <w:bookmarkStart w:id="32" w:name="_Toc3552519"/>
    </w:p>
    <w:p w14:paraId="0B5D5971" w14:textId="77777777" w:rsidR="00EE5DC2" w:rsidRPr="00EE5DC2" w:rsidRDefault="00EE5DC2" w:rsidP="00EE5DC2">
      <w:pPr>
        <w:rPr>
          <w:lang w:val="es-CR" w:eastAsia="es-ES"/>
        </w:rPr>
      </w:pPr>
    </w:p>
    <w:p w14:paraId="35C8722B" w14:textId="1759F702" w:rsidR="00971373" w:rsidRDefault="00127E65" w:rsidP="00971373">
      <w:pPr>
        <w:pStyle w:val="Ttulo1"/>
        <w:jc w:val="both"/>
        <w:rPr>
          <w:rFonts w:ascii="Times New Roman" w:hAnsi="Times New Roman" w:cs="Times New Roman"/>
          <w:b/>
          <w:color w:val="auto"/>
          <w:sz w:val="24"/>
          <w:szCs w:val="24"/>
          <w:lang w:val="es-CR" w:eastAsia="es-ES"/>
        </w:rPr>
      </w:pPr>
      <w:r w:rsidRPr="00DF7EF8">
        <w:rPr>
          <w:rFonts w:ascii="Times New Roman" w:hAnsi="Times New Roman" w:cs="Times New Roman"/>
          <w:b/>
          <w:color w:val="auto"/>
          <w:sz w:val="24"/>
          <w:szCs w:val="24"/>
          <w:lang w:val="es-CR" w:eastAsia="es-ES"/>
        </w:rPr>
        <w:lastRenderedPageBreak/>
        <w:t>7. ANEXO</w:t>
      </w:r>
      <w:bookmarkStart w:id="33" w:name="_Toc3552520"/>
      <w:bookmarkEnd w:id="32"/>
    </w:p>
    <w:p w14:paraId="5563A335" w14:textId="77777777" w:rsidR="00FF6D45" w:rsidRPr="00DF7EF8" w:rsidRDefault="00FF6D45" w:rsidP="00DF7EF8">
      <w:pPr>
        <w:pStyle w:val="Ttulo1"/>
        <w:jc w:val="center"/>
        <w:rPr>
          <w:rFonts w:ascii="Times New Roman" w:hAnsi="Times New Roman" w:cs="Times New Roman"/>
          <w:b/>
          <w:color w:val="auto"/>
          <w:sz w:val="24"/>
          <w:szCs w:val="24"/>
          <w:lang w:val="es-CR" w:eastAsia="es-ES"/>
        </w:rPr>
      </w:pPr>
      <w:r w:rsidRPr="00DF7EF8">
        <w:rPr>
          <w:rFonts w:ascii="Times New Roman" w:hAnsi="Times New Roman" w:cs="Times New Roman"/>
          <w:b/>
          <w:color w:val="auto"/>
          <w:sz w:val="24"/>
          <w:szCs w:val="24"/>
          <w:lang w:val="es-CR" w:eastAsia="es-ES"/>
        </w:rPr>
        <w:t>Anexo 1</w:t>
      </w:r>
      <w:bookmarkEnd w:id="33"/>
    </w:p>
    <w:p w14:paraId="6A791100" w14:textId="77777777" w:rsidR="00FF6D45" w:rsidRDefault="00FF6D45" w:rsidP="006B6810">
      <w:pPr>
        <w:pStyle w:val="Sinespaciado"/>
        <w:rPr>
          <w:lang w:val="es-CR" w:eastAsia="es-ES"/>
        </w:rPr>
      </w:pPr>
    </w:p>
    <w:p w14:paraId="418E2AA8" w14:textId="77777777" w:rsidR="00FF6D45" w:rsidRDefault="00FF6D45" w:rsidP="006B6810">
      <w:pPr>
        <w:pStyle w:val="Sinespaciado"/>
        <w:rPr>
          <w:lang w:val="es-CR" w:eastAsia="es-ES"/>
        </w:rPr>
      </w:pPr>
    </w:p>
    <w:p w14:paraId="5E475E6B" w14:textId="77777777" w:rsidR="00FF6D45" w:rsidRPr="008F5244" w:rsidRDefault="00FF6D45" w:rsidP="006B6810">
      <w:pPr>
        <w:pStyle w:val="Sinespaciado"/>
        <w:rPr>
          <w:lang w:val="es-CR" w:eastAsia="es-ES"/>
        </w:rPr>
      </w:pPr>
      <w:r w:rsidRPr="004702F4">
        <w:rPr>
          <w:b/>
          <w:noProof/>
          <w:color w:val="000000"/>
          <w:sz w:val="22"/>
          <w:szCs w:val="22"/>
          <w:lang w:val="es-CR" w:eastAsia="es-CR"/>
        </w:rPr>
        <w:drawing>
          <wp:inline distT="0" distB="0" distL="0" distR="0" wp14:anchorId="2AB50CF2" wp14:editId="11E75AAA">
            <wp:extent cx="5610697" cy="4703674"/>
            <wp:effectExtent l="0" t="0" r="952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9" cy="4711271"/>
                    </a:xfrm>
                    <a:prstGeom prst="rect">
                      <a:avLst/>
                    </a:prstGeom>
                    <a:noFill/>
                    <a:ln>
                      <a:noFill/>
                    </a:ln>
                  </pic:spPr>
                </pic:pic>
              </a:graphicData>
            </a:graphic>
          </wp:inline>
        </w:drawing>
      </w:r>
    </w:p>
    <w:p w14:paraId="738DEF6A" w14:textId="77777777" w:rsidR="007B2A56" w:rsidRDefault="007B2A56" w:rsidP="006B6810">
      <w:pPr>
        <w:pStyle w:val="Sinespaciado"/>
        <w:rPr>
          <w:lang w:val="es-CR" w:eastAsia="es-ES"/>
        </w:rPr>
      </w:pPr>
    </w:p>
    <w:p w14:paraId="509ED517" w14:textId="77777777" w:rsidR="00603ED9" w:rsidRDefault="00603ED9" w:rsidP="006B6810">
      <w:pPr>
        <w:pStyle w:val="Sinespaciado"/>
        <w:rPr>
          <w:lang w:val="es-CR" w:eastAsia="es-ES"/>
        </w:rPr>
      </w:pPr>
    </w:p>
    <w:p w14:paraId="7861A998" w14:textId="77777777" w:rsidR="00603ED9" w:rsidRDefault="00603ED9" w:rsidP="006B6810">
      <w:pPr>
        <w:pStyle w:val="Sinespaciado"/>
        <w:rPr>
          <w:lang w:val="es-CR" w:eastAsia="es-ES"/>
        </w:rPr>
      </w:pPr>
    </w:p>
    <w:p w14:paraId="55B42F0B" w14:textId="77777777" w:rsidR="00603ED9" w:rsidRDefault="00603ED9" w:rsidP="006B6810">
      <w:pPr>
        <w:pStyle w:val="Sinespaciado"/>
        <w:rPr>
          <w:lang w:val="es-CR" w:eastAsia="es-ES"/>
        </w:rPr>
      </w:pPr>
    </w:p>
    <w:p w14:paraId="7C7D9887" w14:textId="77777777" w:rsidR="00603ED9" w:rsidRDefault="00603ED9" w:rsidP="006B6810">
      <w:pPr>
        <w:pStyle w:val="Sinespaciado"/>
        <w:rPr>
          <w:lang w:val="es-CR" w:eastAsia="es-ES"/>
        </w:rPr>
      </w:pPr>
    </w:p>
    <w:p w14:paraId="79516395" w14:textId="77777777" w:rsidR="00603ED9" w:rsidRDefault="00603ED9" w:rsidP="006B6810">
      <w:pPr>
        <w:pStyle w:val="Sinespaciado"/>
        <w:rPr>
          <w:lang w:val="es-CR" w:eastAsia="es-ES"/>
        </w:rPr>
      </w:pPr>
    </w:p>
    <w:p w14:paraId="426644BD" w14:textId="77777777" w:rsidR="00603ED9" w:rsidRDefault="00603ED9" w:rsidP="006B6810">
      <w:pPr>
        <w:pStyle w:val="Sinespaciado"/>
        <w:rPr>
          <w:lang w:val="es-CR" w:eastAsia="es-ES"/>
        </w:rPr>
      </w:pPr>
    </w:p>
    <w:p w14:paraId="6867D901" w14:textId="77777777" w:rsidR="00603ED9" w:rsidRDefault="00603ED9" w:rsidP="006B6810">
      <w:pPr>
        <w:pStyle w:val="Sinespaciado"/>
        <w:rPr>
          <w:lang w:val="es-CR" w:eastAsia="es-ES"/>
        </w:rPr>
      </w:pPr>
    </w:p>
    <w:p w14:paraId="6C20F44E" w14:textId="77777777" w:rsidR="00603ED9" w:rsidRDefault="00603ED9" w:rsidP="006B6810">
      <w:pPr>
        <w:pStyle w:val="Sinespaciado"/>
        <w:rPr>
          <w:lang w:val="es-CR" w:eastAsia="es-ES"/>
        </w:rPr>
      </w:pPr>
    </w:p>
    <w:p w14:paraId="474949E6" w14:textId="77777777" w:rsidR="00603ED9" w:rsidRDefault="00603ED9" w:rsidP="006B6810">
      <w:pPr>
        <w:pStyle w:val="Sinespaciado"/>
        <w:rPr>
          <w:lang w:val="es-CR" w:eastAsia="es-ES"/>
        </w:rPr>
      </w:pPr>
    </w:p>
    <w:p w14:paraId="61A4D63E" w14:textId="77777777" w:rsidR="00603ED9" w:rsidRDefault="00603ED9" w:rsidP="006B6810">
      <w:pPr>
        <w:pStyle w:val="Sinespaciado"/>
        <w:rPr>
          <w:lang w:val="es-CR" w:eastAsia="es-ES"/>
        </w:rPr>
      </w:pPr>
    </w:p>
    <w:p w14:paraId="382DC3D6" w14:textId="54FC5FDA" w:rsidR="00D40A61" w:rsidRDefault="00D40A61">
      <w:pPr>
        <w:suppressAutoHyphens w:val="0"/>
        <w:spacing w:after="200" w:line="276" w:lineRule="auto"/>
        <w:rPr>
          <w:lang w:val="es-CR" w:eastAsia="es-ES"/>
        </w:rPr>
      </w:pPr>
    </w:p>
    <w:p w14:paraId="6E747300" w14:textId="77777777" w:rsidR="00D40A61" w:rsidRDefault="00D40A61" w:rsidP="006B6810">
      <w:pPr>
        <w:pStyle w:val="Sinespaciado"/>
        <w:rPr>
          <w:lang w:val="es-CR" w:eastAsia="es-ES"/>
        </w:rPr>
        <w:sectPr w:rsidR="00D40A61" w:rsidSect="00AB04B3">
          <w:headerReference w:type="default" r:id="rId9"/>
          <w:footerReference w:type="default" r:id="rId10"/>
          <w:headerReference w:type="first" r:id="rId11"/>
          <w:footerReference w:type="first" r:id="rId12"/>
          <w:pgSz w:w="12240" w:h="15840" w:code="1"/>
          <w:pgMar w:top="1134" w:right="1701" w:bottom="1418" w:left="1701" w:header="709" w:footer="709" w:gutter="0"/>
          <w:cols w:space="708"/>
          <w:titlePg/>
          <w:docGrid w:linePitch="360"/>
        </w:sectPr>
      </w:pPr>
    </w:p>
    <w:p w14:paraId="46F11B67" w14:textId="046CBB98" w:rsidR="00802328" w:rsidRPr="00971373" w:rsidRDefault="007B2A56" w:rsidP="00562564">
      <w:pPr>
        <w:pStyle w:val="Ttulo2"/>
        <w:jc w:val="center"/>
        <w:rPr>
          <w:sz w:val="24"/>
          <w:szCs w:val="24"/>
          <w:lang w:val="es-CR"/>
        </w:rPr>
      </w:pPr>
      <w:bookmarkStart w:id="34" w:name="_Toc3552521"/>
      <w:r w:rsidRPr="00971373">
        <w:rPr>
          <w:sz w:val="24"/>
          <w:szCs w:val="24"/>
          <w:lang w:val="es-CR"/>
        </w:rPr>
        <w:lastRenderedPageBreak/>
        <w:t>Anexo 2</w:t>
      </w:r>
      <w:bookmarkEnd w:id="34"/>
    </w:p>
    <w:p w14:paraId="04A5B289" w14:textId="397AE10A" w:rsidR="007B2A56" w:rsidRPr="00A408BA" w:rsidRDefault="007B2A56" w:rsidP="007B2A56">
      <w:pPr>
        <w:jc w:val="center"/>
        <w:rPr>
          <w:b/>
          <w:lang w:val="es-CR" w:eastAsia="es-ES"/>
        </w:rPr>
      </w:pPr>
      <w:r w:rsidRPr="00A408BA">
        <w:rPr>
          <w:b/>
          <w:lang w:val="es-CR" w:eastAsia="es-ES"/>
        </w:rPr>
        <w:t xml:space="preserve">ANÁLISIS DE LAS OBSERVACIONES REALIZADAS </w:t>
      </w:r>
      <w:r w:rsidR="00A330D6">
        <w:rPr>
          <w:b/>
          <w:lang w:val="es-CR" w:eastAsia="es-ES"/>
        </w:rPr>
        <w:t>A LAS RECOMENDACIONES POR LA ADMINISTRACIÓN</w:t>
      </w:r>
    </w:p>
    <w:p w14:paraId="709B019A" w14:textId="77777777" w:rsidR="007B2A56" w:rsidRDefault="007B2A56" w:rsidP="007B2A56">
      <w:pPr>
        <w:jc w:val="center"/>
        <w:rPr>
          <w:lang w:val="es-CR" w:eastAsia="es-ES"/>
        </w:rPr>
      </w:pPr>
    </w:p>
    <w:tbl>
      <w:tblPr>
        <w:tblStyle w:val="Tablaconcuadrcula"/>
        <w:tblW w:w="12753" w:type="dxa"/>
        <w:tblLayout w:type="fixed"/>
        <w:tblLook w:val="04A0" w:firstRow="1" w:lastRow="0" w:firstColumn="1" w:lastColumn="0" w:noHBand="0" w:noVBand="1"/>
      </w:tblPr>
      <w:tblGrid>
        <w:gridCol w:w="1271"/>
        <w:gridCol w:w="3969"/>
        <w:gridCol w:w="426"/>
        <w:gridCol w:w="567"/>
        <w:gridCol w:w="1133"/>
        <w:gridCol w:w="5387"/>
      </w:tblGrid>
      <w:tr w:rsidR="00442BA6" w:rsidRPr="00A330D6" w14:paraId="153C21C0" w14:textId="77777777" w:rsidTr="00D40A61">
        <w:trPr>
          <w:tblHeader/>
        </w:trPr>
        <w:tc>
          <w:tcPr>
            <w:tcW w:w="1271" w:type="dxa"/>
            <w:vMerge w:val="restart"/>
            <w:vAlign w:val="center"/>
          </w:tcPr>
          <w:p w14:paraId="3DC6ECED" w14:textId="37FCF967" w:rsidR="00442BA6" w:rsidRPr="00A330D6" w:rsidRDefault="00442BA6" w:rsidP="00442BA6">
            <w:pPr>
              <w:ind w:left="0"/>
              <w:jc w:val="center"/>
              <w:rPr>
                <w:b/>
                <w:sz w:val="22"/>
                <w:szCs w:val="22"/>
              </w:rPr>
            </w:pPr>
            <w:r w:rsidRPr="00A330D6">
              <w:rPr>
                <w:b/>
                <w:sz w:val="22"/>
                <w:szCs w:val="22"/>
              </w:rPr>
              <w:t>Nº Recomen.</w:t>
            </w:r>
          </w:p>
        </w:tc>
        <w:tc>
          <w:tcPr>
            <w:tcW w:w="3969" w:type="dxa"/>
            <w:vMerge w:val="restart"/>
            <w:vAlign w:val="center"/>
          </w:tcPr>
          <w:p w14:paraId="137C1B97" w14:textId="77777777" w:rsidR="00442BA6" w:rsidRPr="00A330D6" w:rsidRDefault="00442BA6" w:rsidP="00AB04B3">
            <w:pPr>
              <w:ind w:left="0"/>
              <w:jc w:val="center"/>
              <w:rPr>
                <w:b/>
                <w:sz w:val="22"/>
                <w:szCs w:val="22"/>
              </w:rPr>
            </w:pPr>
            <w:r w:rsidRPr="00A330D6">
              <w:rPr>
                <w:b/>
                <w:sz w:val="22"/>
                <w:szCs w:val="22"/>
              </w:rPr>
              <w:t>Observaciones de la Administración</w:t>
            </w:r>
          </w:p>
        </w:tc>
        <w:tc>
          <w:tcPr>
            <w:tcW w:w="2126" w:type="dxa"/>
            <w:gridSpan w:val="3"/>
            <w:vAlign w:val="center"/>
          </w:tcPr>
          <w:p w14:paraId="44083F58" w14:textId="4B044B58" w:rsidR="00442BA6" w:rsidRPr="00A330D6" w:rsidRDefault="00442BA6" w:rsidP="00442BA6">
            <w:pPr>
              <w:ind w:left="-108"/>
              <w:jc w:val="center"/>
              <w:rPr>
                <w:b/>
                <w:sz w:val="22"/>
                <w:szCs w:val="22"/>
              </w:rPr>
            </w:pPr>
            <w:r w:rsidRPr="00A330D6">
              <w:rPr>
                <w:b/>
                <w:sz w:val="22"/>
                <w:szCs w:val="22"/>
              </w:rPr>
              <w:t>Se acoge</w:t>
            </w:r>
          </w:p>
        </w:tc>
        <w:tc>
          <w:tcPr>
            <w:tcW w:w="5387" w:type="dxa"/>
            <w:vMerge w:val="restart"/>
            <w:vAlign w:val="center"/>
          </w:tcPr>
          <w:p w14:paraId="458833E8" w14:textId="6AFE9788" w:rsidR="00442BA6" w:rsidRPr="00A330D6" w:rsidRDefault="00442BA6" w:rsidP="004D24BB">
            <w:pPr>
              <w:ind w:left="0"/>
              <w:jc w:val="center"/>
              <w:rPr>
                <w:b/>
                <w:sz w:val="22"/>
                <w:szCs w:val="22"/>
              </w:rPr>
            </w:pPr>
            <w:r w:rsidRPr="00A330D6">
              <w:rPr>
                <w:b/>
                <w:sz w:val="22"/>
                <w:szCs w:val="22"/>
              </w:rPr>
              <w:t>Observación Auditoría Interna</w:t>
            </w:r>
          </w:p>
        </w:tc>
      </w:tr>
      <w:tr w:rsidR="00230FA3" w:rsidRPr="00A330D6" w14:paraId="77511152" w14:textId="77777777" w:rsidTr="00D40A61">
        <w:trPr>
          <w:tblHeader/>
        </w:trPr>
        <w:tc>
          <w:tcPr>
            <w:tcW w:w="1271" w:type="dxa"/>
            <w:vMerge/>
            <w:vAlign w:val="center"/>
          </w:tcPr>
          <w:p w14:paraId="3EE78DC1" w14:textId="77777777" w:rsidR="00230FA3" w:rsidRPr="00A330D6" w:rsidRDefault="00230FA3" w:rsidP="00A330D6">
            <w:pPr>
              <w:jc w:val="center"/>
              <w:rPr>
                <w:b/>
                <w:sz w:val="22"/>
                <w:szCs w:val="22"/>
              </w:rPr>
            </w:pPr>
          </w:p>
        </w:tc>
        <w:tc>
          <w:tcPr>
            <w:tcW w:w="3969" w:type="dxa"/>
            <w:vMerge/>
            <w:vAlign w:val="center"/>
          </w:tcPr>
          <w:p w14:paraId="5435F822" w14:textId="77777777" w:rsidR="00230FA3" w:rsidRPr="00A330D6" w:rsidRDefault="00230FA3" w:rsidP="00A330D6">
            <w:pPr>
              <w:jc w:val="center"/>
              <w:rPr>
                <w:b/>
                <w:sz w:val="22"/>
                <w:szCs w:val="22"/>
              </w:rPr>
            </w:pPr>
          </w:p>
        </w:tc>
        <w:tc>
          <w:tcPr>
            <w:tcW w:w="426" w:type="dxa"/>
            <w:vAlign w:val="center"/>
          </w:tcPr>
          <w:p w14:paraId="357D1415" w14:textId="77777777" w:rsidR="00230FA3" w:rsidRPr="00A330D6" w:rsidRDefault="00230FA3" w:rsidP="00AB04B3">
            <w:pPr>
              <w:ind w:left="0"/>
              <w:jc w:val="left"/>
              <w:rPr>
                <w:b/>
                <w:sz w:val="22"/>
                <w:szCs w:val="22"/>
              </w:rPr>
            </w:pPr>
            <w:r w:rsidRPr="00A330D6">
              <w:rPr>
                <w:b/>
                <w:sz w:val="22"/>
                <w:szCs w:val="22"/>
              </w:rPr>
              <w:t>Sí</w:t>
            </w:r>
          </w:p>
        </w:tc>
        <w:tc>
          <w:tcPr>
            <w:tcW w:w="567" w:type="dxa"/>
            <w:vAlign w:val="center"/>
          </w:tcPr>
          <w:p w14:paraId="1A783A67" w14:textId="77777777" w:rsidR="00230FA3" w:rsidRPr="00A330D6" w:rsidRDefault="00230FA3" w:rsidP="004D24BB">
            <w:pPr>
              <w:ind w:left="0"/>
              <w:jc w:val="center"/>
              <w:rPr>
                <w:b/>
                <w:sz w:val="22"/>
                <w:szCs w:val="22"/>
              </w:rPr>
            </w:pPr>
            <w:r w:rsidRPr="00A330D6">
              <w:rPr>
                <w:b/>
                <w:sz w:val="22"/>
                <w:szCs w:val="22"/>
              </w:rPr>
              <w:t>No</w:t>
            </w:r>
          </w:p>
        </w:tc>
        <w:tc>
          <w:tcPr>
            <w:tcW w:w="1133" w:type="dxa"/>
            <w:vAlign w:val="center"/>
          </w:tcPr>
          <w:p w14:paraId="527AD84D" w14:textId="528A867E" w:rsidR="00230FA3" w:rsidRPr="00A330D6" w:rsidRDefault="00442BA6" w:rsidP="00442BA6">
            <w:pPr>
              <w:ind w:left="0"/>
              <w:jc w:val="left"/>
              <w:rPr>
                <w:b/>
                <w:sz w:val="22"/>
                <w:szCs w:val="22"/>
              </w:rPr>
            </w:pPr>
            <w:r w:rsidRPr="00A330D6">
              <w:rPr>
                <w:b/>
                <w:sz w:val="22"/>
                <w:szCs w:val="22"/>
              </w:rPr>
              <w:t>P</w:t>
            </w:r>
            <w:r w:rsidR="00D40A61" w:rsidRPr="00A330D6">
              <w:rPr>
                <w:b/>
                <w:sz w:val="22"/>
                <w:szCs w:val="22"/>
              </w:rPr>
              <w:t>arcial</w:t>
            </w:r>
          </w:p>
        </w:tc>
        <w:tc>
          <w:tcPr>
            <w:tcW w:w="5387" w:type="dxa"/>
            <w:vMerge/>
            <w:vAlign w:val="center"/>
          </w:tcPr>
          <w:p w14:paraId="116553EB" w14:textId="0B72E9AA" w:rsidR="00230FA3" w:rsidRPr="00A330D6" w:rsidRDefault="00230FA3" w:rsidP="00A330D6">
            <w:pPr>
              <w:jc w:val="center"/>
              <w:rPr>
                <w:b/>
                <w:sz w:val="22"/>
                <w:szCs w:val="22"/>
              </w:rPr>
            </w:pPr>
          </w:p>
        </w:tc>
      </w:tr>
      <w:tr w:rsidR="00230FA3" w:rsidRPr="00A330D6" w14:paraId="370CE5CB" w14:textId="77777777" w:rsidTr="00D40A61">
        <w:tc>
          <w:tcPr>
            <w:tcW w:w="1271" w:type="dxa"/>
            <w:vAlign w:val="center"/>
          </w:tcPr>
          <w:p w14:paraId="1698402E" w14:textId="212B9E90" w:rsidR="00230FA3" w:rsidRPr="00EE5DC2" w:rsidRDefault="00230FA3" w:rsidP="00230FA3">
            <w:pPr>
              <w:ind w:left="0" w:right="175"/>
              <w:jc w:val="center"/>
              <w:rPr>
                <w:sz w:val="22"/>
                <w:szCs w:val="22"/>
              </w:rPr>
            </w:pPr>
            <w:r w:rsidRPr="00EE5DC2">
              <w:rPr>
                <w:sz w:val="22"/>
                <w:szCs w:val="22"/>
              </w:rPr>
              <w:t>1</w:t>
            </w:r>
          </w:p>
        </w:tc>
        <w:tc>
          <w:tcPr>
            <w:tcW w:w="3969" w:type="dxa"/>
            <w:vAlign w:val="center"/>
          </w:tcPr>
          <w:p w14:paraId="69E2E765" w14:textId="6406D15C" w:rsidR="00230FA3" w:rsidRPr="00EE5DC2" w:rsidRDefault="00230FA3" w:rsidP="00230FA3">
            <w:pPr>
              <w:pStyle w:val="Default"/>
              <w:ind w:left="0"/>
              <w:rPr>
                <w:rFonts w:ascii="Times New Roman" w:eastAsia="Times New Roman" w:hAnsi="Times New Roman" w:cs="Times New Roman"/>
                <w:color w:val="auto"/>
                <w:sz w:val="22"/>
                <w:szCs w:val="22"/>
                <w:lang w:val="es-ES" w:eastAsia="ar-SA"/>
              </w:rPr>
            </w:pPr>
            <w:r w:rsidRPr="00EE5DC2">
              <w:rPr>
                <w:rFonts w:ascii="Times New Roman" w:eastAsia="Times New Roman" w:hAnsi="Times New Roman" w:cs="Times New Roman"/>
                <w:color w:val="auto"/>
                <w:sz w:val="22"/>
                <w:szCs w:val="22"/>
                <w:lang w:val="es-ES" w:eastAsia="ar-SA"/>
              </w:rPr>
              <w:t>Según oficio DM-0280-03-2019 del 7 de marzo de 2019, en el punto 2 se evidencia que la ejecución de dichos cambios no es competencia del despacho del Ministro, ya que la normativa interna de cita fue elaborada por otras instancias ministeriales.</w:t>
            </w:r>
          </w:p>
        </w:tc>
        <w:tc>
          <w:tcPr>
            <w:tcW w:w="426" w:type="dxa"/>
            <w:vAlign w:val="center"/>
          </w:tcPr>
          <w:p w14:paraId="40D400DB" w14:textId="482038DD" w:rsidR="00230FA3" w:rsidRPr="00EE5DC2" w:rsidRDefault="00230FA3" w:rsidP="00CF21D2">
            <w:pPr>
              <w:ind w:left="0"/>
              <w:jc w:val="left"/>
              <w:rPr>
                <w:sz w:val="22"/>
                <w:szCs w:val="22"/>
              </w:rPr>
            </w:pPr>
            <w:r w:rsidRPr="00EE5DC2">
              <w:rPr>
                <w:sz w:val="22"/>
                <w:szCs w:val="22"/>
              </w:rPr>
              <w:t>X</w:t>
            </w:r>
          </w:p>
        </w:tc>
        <w:tc>
          <w:tcPr>
            <w:tcW w:w="567" w:type="dxa"/>
            <w:vAlign w:val="center"/>
          </w:tcPr>
          <w:p w14:paraId="2031B25E" w14:textId="77777777" w:rsidR="00230FA3" w:rsidRPr="00EE5DC2" w:rsidRDefault="00230FA3" w:rsidP="00A330D6">
            <w:pPr>
              <w:jc w:val="center"/>
              <w:rPr>
                <w:sz w:val="22"/>
                <w:szCs w:val="22"/>
              </w:rPr>
            </w:pPr>
          </w:p>
        </w:tc>
        <w:tc>
          <w:tcPr>
            <w:tcW w:w="1133" w:type="dxa"/>
          </w:tcPr>
          <w:p w14:paraId="30856B21" w14:textId="77777777" w:rsidR="00230FA3" w:rsidRPr="00EE5DC2" w:rsidRDefault="00230FA3" w:rsidP="00CF21D2">
            <w:pPr>
              <w:rPr>
                <w:sz w:val="22"/>
                <w:szCs w:val="22"/>
                <w:lang w:val="es-CR"/>
              </w:rPr>
            </w:pPr>
          </w:p>
        </w:tc>
        <w:tc>
          <w:tcPr>
            <w:tcW w:w="5387" w:type="dxa"/>
          </w:tcPr>
          <w:p w14:paraId="2D948DB3" w14:textId="2DFFA110" w:rsidR="00230FA3" w:rsidRPr="00EE5DC2" w:rsidRDefault="00230FA3" w:rsidP="00D40A61">
            <w:pPr>
              <w:ind w:left="0"/>
              <w:rPr>
                <w:sz w:val="22"/>
                <w:szCs w:val="22"/>
                <w:lang w:val="es-CR"/>
              </w:rPr>
            </w:pPr>
            <w:r w:rsidRPr="00EE5DC2">
              <w:rPr>
                <w:sz w:val="22"/>
                <w:szCs w:val="22"/>
                <w:lang w:val="es-CR"/>
              </w:rPr>
              <w:t>Se procederá a modificar la redacción de la recomendación, de tal manera que se entienda que el Ministro gire instrucciones</w:t>
            </w:r>
            <w:r w:rsidR="00D40A61" w:rsidRPr="00EE5DC2">
              <w:rPr>
                <w:sz w:val="22"/>
                <w:szCs w:val="22"/>
                <w:lang w:val="es-CR"/>
              </w:rPr>
              <w:t xml:space="preserve"> y brinde seguimiento a las instancias correspondientes</w:t>
            </w:r>
            <w:r w:rsidRPr="00EE5DC2">
              <w:rPr>
                <w:sz w:val="22"/>
                <w:szCs w:val="22"/>
                <w:lang w:val="es-CR"/>
              </w:rPr>
              <w:t>.</w:t>
            </w:r>
          </w:p>
        </w:tc>
      </w:tr>
      <w:tr w:rsidR="00A330D6" w:rsidRPr="00A330D6" w14:paraId="4E6184A9" w14:textId="77777777" w:rsidTr="00D40A61">
        <w:tc>
          <w:tcPr>
            <w:tcW w:w="1271" w:type="dxa"/>
            <w:vAlign w:val="center"/>
          </w:tcPr>
          <w:p w14:paraId="04D86774" w14:textId="6E50436F" w:rsidR="00230FA3" w:rsidRPr="00EE5DC2" w:rsidRDefault="00230FA3" w:rsidP="00230FA3">
            <w:pPr>
              <w:ind w:left="0"/>
              <w:jc w:val="center"/>
              <w:rPr>
                <w:sz w:val="22"/>
                <w:szCs w:val="22"/>
              </w:rPr>
            </w:pPr>
            <w:r w:rsidRPr="00EE5DC2">
              <w:rPr>
                <w:sz w:val="22"/>
                <w:szCs w:val="22"/>
              </w:rPr>
              <w:t>2</w:t>
            </w:r>
          </w:p>
        </w:tc>
        <w:tc>
          <w:tcPr>
            <w:tcW w:w="3969" w:type="dxa"/>
            <w:vAlign w:val="center"/>
          </w:tcPr>
          <w:p w14:paraId="7D058449" w14:textId="06C5FE4B" w:rsidR="00230FA3" w:rsidRPr="00EE5DC2" w:rsidRDefault="00230FA3" w:rsidP="00230FA3">
            <w:pPr>
              <w:pStyle w:val="Default"/>
              <w:ind w:left="0"/>
              <w:rPr>
                <w:rFonts w:ascii="Times New Roman" w:eastAsia="Times New Roman" w:hAnsi="Times New Roman" w:cs="Times New Roman"/>
                <w:color w:val="auto"/>
                <w:sz w:val="22"/>
                <w:szCs w:val="22"/>
                <w:lang w:val="es-ES" w:eastAsia="ar-SA"/>
              </w:rPr>
            </w:pPr>
            <w:r w:rsidRPr="00EE5DC2">
              <w:rPr>
                <w:rFonts w:ascii="Times New Roman" w:eastAsia="Times New Roman" w:hAnsi="Times New Roman" w:cs="Times New Roman"/>
                <w:color w:val="auto"/>
                <w:sz w:val="22"/>
                <w:szCs w:val="22"/>
                <w:lang w:val="es-ES" w:eastAsia="ar-SA"/>
              </w:rPr>
              <w:t>Según oficio DM-0280-03-2019 del 7 de marzo de 2019, se indica que se debe valorar esta recomendación porque existiría una contradicción con lo señalado en la circular CIR-TN 033-2018 “</w:t>
            </w:r>
            <w:r w:rsidRPr="00EE5DC2">
              <w:rPr>
                <w:rFonts w:ascii="Times New Roman" w:eastAsia="Times New Roman" w:hAnsi="Times New Roman" w:cs="Times New Roman"/>
                <w:i/>
                <w:color w:val="auto"/>
                <w:sz w:val="22"/>
                <w:szCs w:val="22"/>
                <w:lang w:val="es-ES" w:eastAsia="ar-SA"/>
              </w:rPr>
              <w:t>Lineamientos para el depósito de los remantes de superávit libre acumulado al año 2015 en aplicación de la ley No. 9371</w:t>
            </w:r>
            <w:r w:rsidRPr="00EE5DC2">
              <w:rPr>
                <w:rFonts w:ascii="Times New Roman" w:eastAsia="Times New Roman" w:hAnsi="Times New Roman" w:cs="Times New Roman"/>
                <w:color w:val="auto"/>
                <w:sz w:val="22"/>
                <w:szCs w:val="22"/>
                <w:lang w:val="es-ES" w:eastAsia="ar-SA"/>
              </w:rPr>
              <w:t xml:space="preserve">…” </w:t>
            </w:r>
          </w:p>
        </w:tc>
        <w:tc>
          <w:tcPr>
            <w:tcW w:w="426" w:type="dxa"/>
            <w:vAlign w:val="center"/>
          </w:tcPr>
          <w:p w14:paraId="57B0D8BB" w14:textId="77777777" w:rsidR="00230FA3" w:rsidRPr="00EE5DC2" w:rsidRDefault="00230FA3" w:rsidP="001D3142">
            <w:pPr>
              <w:rPr>
                <w:sz w:val="22"/>
                <w:szCs w:val="22"/>
              </w:rPr>
            </w:pPr>
          </w:p>
        </w:tc>
        <w:tc>
          <w:tcPr>
            <w:tcW w:w="567" w:type="dxa"/>
            <w:vAlign w:val="center"/>
          </w:tcPr>
          <w:p w14:paraId="367773A6" w14:textId="77777777" w:rsidR="00230FA3" w:rsidRPr="00EE5DC2" w:rsidRDefault="00230FA3" w:rsidP="00A330D6">
            <w:pPr>
              <w:jc w:val="center"/>
              <w:rPr>
                <w:sz w:val="22"/>
                <w:szCs w:val="22"/>
              </w:rPr>
            </w:pPr>
          </w:p>
        </w:tc>
        <w:tc>
          <w:tcPr>
            <w:tcW w:w="1133" w:type="dxa"/>
            <w:vAlign w:val="center"/>
          </w:tcPr>
          <w:p w14:paraId="68A91579" w14:textId="0AA205B2" w:rsidR="00230FA3" w:rsidRPr="00EE5DC2" w:rsidRDefault="00442BA6" w:rsidP="00D40A61">
            <w:pPr>
              <w:ind w:left="0"/>
              <w:jc w:val="center"/>
              <w:rPr>
                <w:sz w:val="22"/>
                <w:szCs w:val="22"/>
                <w:lang w:val="es-CR"/>
              </w:rPr>
            </w:pPr>
            <w:r w:rsidRPr="00EE5DC2">
              <w:rPr>
                <w:sz w:val="22"/>
                <w:szCs w:val="22"/>
              </w:rPr>
              <w:t>X</w:t>
            </w:r>
          </w:p>
        </w:tc>
        <w:tc>
          <w:tcPr>
            <w:tcW w:w="5387" w:type="dxa"/>
          </w:tcPr>
          <w:p w14:paraId="1BEF5801" w14:textId="624FB70B" w:rsidR="00230FA3" w:rsidRPr="00EE5DC2" w:rsidRDefault="00442BA6" w:rsidP="00D40A61">
            <w:pPr>
              <w:ind w:left="0"/>
              <w:rPr>
                <w:sz w:val="22"/>
                <w:szCs w:val="22"/>
                <w:lang w:val="es-CR"/>
              </w:rPr>
            </w:pPr>
            <w:r w:rsidRPr="00EE5DC2">
              <w:rPr>
                <w:sz w:val="22"/>
                <w:szCs w:val="22"/>
                <w:lang w:val="es-CR"/>
              </w:rPr>
              <w:t xml:space="preserve">Este aspecto fue atendido mediante </w:t>
            </w:r>
            <w:r w:rsidR="001E585D" w:rsidRPr="00EE5DC2">
              <w:rPr>
                <w:sz w:val="22"/>
                <w:szCs w:val="22"/>
                <w:lang w:val="es-CR"/>
              </w:rPr>
              <w:t xml:space="preserve">en </w:t>
            </w:r>
            <w:r w:rsidRPr="00EE5DC2">
              <w:rPr>
                <w:sz w:val="22"/>
                <w:szCs w:val="22"/>
                <w:lang w:val="es-CR"/>
              </w:rPr>
              <w:t>el oficio DF-SUB-079-2019</w:t>
            </w:r>
            <w:r w:rsidR="001E585D" w:rsidRPr="00EE5DC2">
              <w:rPr>
                <w:sz w:val="22"/>
                <w:szCs w:val="22"/>
                <w:lang w:val="es-CR"/>
              </w:rPr>
              <w:t xml:space="preserve"> con copia al Despacho </w:t>
            </w:r>
            <w:r w:rsidR="00F97B48" w:rsidRPr="00EE5DC2">
              <w:rPr>
                <w:sz w:val="22"/>
                <w:szCs w:val="22"/>
                <w:lang w:val="es-CR"/>
              </w:rPr>
              <w:t>de Viceministra de Planificación y Coordinación Regional</w:t>
            </w:r>
            <w:r w:rsidRPr="00EE5DC2">
              <w:rPr>
                <w:sz w:val="22"/>
                <w:szCs w:val="22"/>
                <w:lang w:val="es-CR"/>
              </w:rPr>
              <w:t>,</w:t>
            </w:r>
            <w:r w:rsidR="00F97B48" w:rsidRPr="00EE5DC2">
              <w:rPr>
                <w:sz w:val="22"/>
                <w:szCs w:val="22"/>
                <w:lang w:val="es-CR"/>
              </w:rPr>
              <w:t xml:space="preserve"> emitida por la Subdirectora Financiera</w:t>
            </w:r>
            <w:r w:rsidRPr="00EE5DC2">
              <w:rPr>
                <w:sz w:val="22"/>
                <w:szCs w:val="22"/>
                <w:lang w:val="es-CR"/>
              </w:rPr>
              <w:t xml:space="preserve"> como observación de la Administración en la recom</w:t>
            </w:r>
            <w:r w:rsidR="00D40A61" w:rsidRPr="00EE5DC2">
              <w:rPr>
                <w:sz w:val="22"/>
                <w:szCs w:val="22"/>
                <w:lang w:val="es-CR"/>
              </w:rPr>
              <w:t>endación No. 12 de este informe, por lo cual esta recomendación se modifica tomando en consideración lo externado por la Direcci</w:t>
            </w:r>
            <w:r w:rsidR="00A330D6" w:rsidRPr="00EE5DC2">
              <w:rPr>
                <w:sz w:val="22"/>
                <w:szCs w:val="22"/>
                <w:lang w:val="es-CR"/>
              </w:rPr>
              <w:t>ón Financiera, quedando de la siguiente manera:</w:t>
            </w:r>
          </w:p>
          <w:p w14:paraId="272E0CD2" w14:textId="77777777" w:rsidR="00A330D6" w:rsidRPr="00EE5DC2" w:rsidRDefault="00A330D6" w:rsidP="00D40A61">
            <w:pPr>
              <w:ind w:left="0"/>
              <w:rPr>
                <w:sz w:val="22"/>
                <w:szCs w:val="22"/>
                <w:lang w:val="es-CR"/>
              </w:rPr>
            </w:pPr>
          </w:p>
          <w:p w14:paraId="1F9C687F" w14:textId="22D50C90" w:rsidR="00A330D6" w:rsidRPr="00EE5DC2" w:rsidRDefault="00A330D6" w:rsidP="00D40A61">
            <w:pPr>
              <w:ind w:left="0"/>
              <w:rPr>
                <w:i/>
                <w:sz w:val="22"/>
                <w:szCs w:val="22"/>
                <w:lang w:val="es-CR"/>
              </w:rPr>
            </w:pPr>
            <w:r w:rsidRPr="00EE5DC2">
              <w:rPr>
                <w:i/>
                <w:sz w:val="22"/>
                <w:szCs w:val="22"/>
              </w:rPr>
              <w:t>Girar instrucciones y dar seguimiento a las instancias que corresponden, a fin de que se realice</w:t>
            </w:r>
            <w:r w:rsidRPr="00EE5DC2">
              <w:rPr>
                <w:b/>
                <w:i/>
                <w:sz w:val="22"/>
                <w:szCs w:val="22"/>
              </w:rPr>
              <w:t xml:space="preserve"> </w:t>
            </w:r>
            <w:r w:rsidRPr="00EE5DC2">
              <w:rPr>
                <w:i/>
                <w:sz w:val="22"/>
                <w:szCs w:val="22"/>
              </w:rPr>
              <w:t xml:space="preserve">un diagnóstico a nivel normativo de las diferentes unidades ejecutoras en materia presupuestaria que son responsables de girar transferencias; a fin de diseñar, divulgar e implementar normativas específicas a nivel ministerial para el control de los recursos públicos, sean estos con destino a </w:t>
            </w:r>
            <w:r w:rsidRPr="00EE5DC2">
              <w:rPr>
                <w:i/>
                <w:sz w:val="22"/>
                <w:szCs w:val="22"/>
              </w:rPr>
              <w:lastRenderedPageBreak/>
              <w:t>reinvertirse como para aquellos que se custodien bajo la tutela del Ministerio de Hacienda</w:t>
            </w:r>
          </w:p>
        </w:tc>
      </w:tr>
      <w:tr w:rsidR="00230FA3" w:rsidRPr="00A330D6" w14:paraId="45FBF4BD" w14:textId="77777777" w:rsidTr="00D40A61">
        <w:tc>
          <w:tcPr>
            <w:tcW w:w="1271" w:type="dxa"/>
            <w:vAlign w:val="center"/>
          </w:tcPr>
          <w:p w14:paraId="0E2B2DE6" w14:textId="480FD7C2" w:rsidR="00230FA3" w:rsidRPr="00A330D6" w:rsidRDefault="00F97B48" w:rsidP="00F97B48">
            <w:pPr>
              <w:ind w:left="0"/>
              <w:jc w:val="center"/>
              <w:rPr>
                <w:sz w:val="22"/>
                <w:szCs w:val="22"/>
              </w:rPr>
            </w:pPr>
            <w:r w:rsidRPr="00EE5DC2">
              <w:rPr>
                <w:sz w:val="22"/>
                <w:szCs w:val="22"/>
              </w:rPr>
              <w:lastRenderedPageBreak/>
              <w:t>4</w:t>
            </w:r>
          </w:p>
        </w:tc>
        <w:tc>
          <w:tcPr>
            <w:tcW w:w="3969" w:type="dxa"/>
            <w:vAlign w:val="center"/>
          </w:tcPr>
          <w:p w14:paraId="298C969D" w14:textId="561E10D5" w:rsidR="00230FA3" w:rsidRPr="00EE5DC2" w:rsidRDefault="0012507A" w:rsidP="0012507A">
            <w:pPr>
              <w:pStyle w:val="Default"/>
              <w:ind w:left="0"/>
              <w:rPr>
                <w:rFonts w:ascii="Times New Roman" w:eastAsia="Times New Roman" w:hAnsi="Times New Roman" w:cs="Times New Roman"/>
                <w:color w:val="auto"/>
                <w:sz w:val="22"/>
                <w:szCs w:val="22"/>
                <w:lang w:val="es-ES" w:eastAsia="ar-SA"/>
              </w:rPr>
            </w:pPr>
            <w:r w:rsidRPr="00EE5DC2">
              <w:rPr>
                <w:rFonts w:ascii="Times New Roman" w:eastAsia="Times New Roman" w:hAnsi="Times New Roman" w:cs="Times New Roman"/>
                <w:color w:val="auto"/>
                <w:sz w:val="22"/>
                <w:szCs w:val="22"/>
                <w:lang w:val="es-ES" w:eastAsia="ar-SA"/>
              </w:rPr>
              <w:t>Según oficio DM-0280-03-2019 del 7 de marzo de 2019, se indica que la recomendación atañe única y exclusivamente a la Dirección de Programas de Equidad, por cuanto sería contrario a la norma.</w:t>
            </w:r>
          </w:p>
        </w:tc>
        <w:tc>
          <w:tcPr>
            <w:tcW w:w="426" w:type="dxa"/>
            <w:vAlign w:val="center"/>
          </w:tcPr>
          <w:p w14:paraId="117AD882" w14:textId="77777777" w:rsidR="00230FA3" w:rsidRPr="00EE5DC2" w:rsidRDefault="00230FA3" w:rsidP="001D3142">
            <w:pPr>
              <w:rPr>
                <w:sz w:val="22"/>
                <w:szCs w:val="22"/>
              </w:rPr>
            </w:pPr>
          </w:p>
        </w:tc>
        <w:tc>
          <w:tcPr>
            <w:tcW w:w="567" w:type="dxa"/>
            <w:vAlign w:val="center"/>
          </w:tcPr>
          <w:p w14:paraId="30D0B40A" w14:textId="3B9A083E" w:rsidR="00230FA3" w:rsidRPr="00EE5DC2" w:rsidRDefault="0012507A" w:rsidP="00D40A61">
            <w:pPr>
              <w:ind w:left="0"/>
              <w:jc w:val="center"/>
              <w:rPr>
                <w:sz w:val="22"/>
                <w:szCs w:val="22"/>
              </w:rPr>
            </w:pPr>
            <w:r w:rsidRPr="00EE5DC2">
              <w:rPr>
                <w:sz w:val="22"/>
                <w:szCs w:val="22"/>
              </w:rPr>
              <w:t>X</w:t>
            </w:r>
          </w:p>
        </w:tc>
        <w:tc>
          <w:tcPr>
            <w:tcW w:w="1133" w:type="dxa"/>
          </w:tcPr>
          <w:p w14:paraId="7F5F1CB0" w14:textId="77777777" w:rsidR="00230FA3" w:rsidRPr="00EE5DC2" w:rsidRDefault="00230FA3" w:rsidP="003220A7">
            <w:pPr>
              <w:rPr>
                <w:sz w:val="22"/>
                <w:szCs w:val="22"/>
                <w:lang w:val="es-CR"/>
              </w:rPr>
            </w:pPr>
          </w:p>
        </w:tc>
        <w:tc>
          <w:tcPr>
            <w:tcW w:w="5387" w:type="dxa"/>
          </w:tcPr>
          <w:p w14:paraId="5197C20B" w14:textId="3C2949A1" w:rsidR="00230FA3" w:rsidRPr="00EE5DC2" w:rsidRDefault="0012507A" w:rsidP="0012507A">
            <w:pPr>
              <w:ind w:left="0"/>
              <w:rPr>
                <w:sz w:val="22"/>
                <w:szCs w:val="22"/>
                <w:lang w:val="es-CR"/>
              </w:rPr>
            </w:pPr>
            <w:r w:rsidRPr="00EE5DC2">
              <w:rPr>
                <w:sz w:val="22"/>
                <w:szCs w:val="22"/>
                <w:lang w:val="es-CR"/>
              </w:rPr>
              <w:t xml:space="preserve">La recomendación se mantiene en razón que es competencia de la Viceministra de Planificación Institucional y Coordinación Regional, además de estar en congruencia con lo señalado por el ente Contralor en la recomendación 4.6 del informe </w:t>
            </w:r>
            <w:r w:rsidRPr="00EE5DC2">
              <w:rPr>
                <w:sz w:val="22"/>
                <w:szCs w:val="22"/>
              </w:rPr>
              <w:t>DFOE-SOC-IF-00026-2018 del 21 de diciembre, 2018.</w:t>
            </w:r>
          </w:p>
        </w:tc>
      </w:tr>
      <w:tr w:rsidR="00A330D6" w:rsidRPr="00A330D6" w14:paraId="6482A054" w14:textId="77777777" w:rsidTr="00D40A61">
        <w:tc>
          <w:tcPr>
            <w:tcW w:w="1271" w:type="dxa"/>
            <w:vAlign w:val="center"/>
          </w:tcPr>
          <w:p w14:paraId="251B2882" w14:textId="024DA2A4" w:rsidR="00230FA3" w:rsidRPr="00A330D6" w:rsidRDefault="00230FA3" w:rsidP="000E038D">
            <w:pPr>
              <w:ind w:left="0"/>
              <w:jc w:val="center"/>
              <w:rPr>
                <w:color w:val="FF0000"/>
                <w:sz w:val="22"/>
                <w:szCs w:val="22"/>
              </w:rPr>
            </w:pPr>
            <w:r w:rsidRPr="00EE5DC2">
              <w:rPr>
                <w:sz w:val="22"/>
                <w:szCs w:val="22"/>
              </w:rPr>
              <w:t>12</w:t>
            </w:r>
          </w:p>
        </w:tc>
        <w:tc>
          <w:tcPr>
            <w:tcW w:w="3969" w:type="dxa"/>
            <w:vAlign w:val="center"/>
          </w:tcPr>
          <w:p w14:paraId="470B1B9A" w14:textId="77777777" w:rsidR="00D40A61" w:rsidRPr="00EE5DC2" w:rsidRDefault="00230FA3" w:rsidP="00D40A61">
            <w:pPr>
              <w:pStyle w:val="Default"/>
              <w:ind w:left="0"/>
              <w:rPr>
                <w:rFonts w:ascii="Times New Roman" w:eastAsia="Times New Roman" w:hAnsi="Times New Roman" w:cs="Times New Roman"/>
                <w:color w:val="auto"/>
                <w:sz w:val="22"/>
                <w:szCs w:val="22"/>
                <w:lang w:val="es-ES" w:eastAsia="ar-SA"/>
              </w:rPr>
            </w:pPr>
            <w:r w:rsidRPr="00EE5DC2">
              <w:rPr>
                <w:rFonts w:ascii="Times New Roman" w:eastAsia="Times New Roman" w:hAnsi="Times New Roman" w:cs="Times New Roman"/>
                <w:color w:val="auto"/>
                <w:sz w:val="22"/>
                <w:szCs w:val="22"/>
                <w:lang w:val="es-ES" w:eastAsia="ar-SA"/>
              </w:rPr>
              <w:t>Según oficio DF-SUB-079-2019 del 11 de marzo del 2019 y suscrito por la Subdirectora Financiera, se indica que: “…</w:t>
            </w:r>
            <w:r w:rsidRPr="00EE5DC2">
              <w:rPr>
                <w:rFonts w:ascii="Century Gothic" w:hAnsi="Century Gothic" w:cs="Century Gothic"/>
                <w:color w:val="auto"/>
                <w:sz w:val="22"/>
                <w:szCs w:val="22"/>
              </w:rPr>
              <w:t xml:space="preserve"> </w:t>
            </w:r>
            <w:r w:rsidRPr="00EE5DC2">
              <w:rPr>
                <w:rFonts w:ascii="Times New Roman" w:eastAsia="Times New Roman" w:hAnsi="Times New Roman" w:cs="Times New Roman"/>
                <w:i/>
                <w:color w:val="auto"/>
                <w:sz w:val="22"/>
                <w:szCs w:val="22"/>
                <w:lang w:val="es-ES" w:eastAsia="ar-SA"/>
              </w:rPr>
              <w:t>en el contexto del informe que se presenta, precisamente por tratarse de Programas de Equidad, se podría entender que el procedimiento puede ser exclusivo en ese particular, sin embargo, opina esta dependencia que el contexto puede ampliarse en el diseño del procedimiento para que su aplicabilidad sea extensiva a toda unidad ejecutora de transferencias”</w:t>
            </w:r>
            <w:r w:rsidRPr="00EE5DC2">
              <w:rPr>
                <w:rFonts w:ascii="Times New Roman" w:eastAsia="Times New Roman" w:hAnsi="Times New Roman" w:cs="Times New Roman"/>
                <w:color w:val="auto"/>
                <w:sz w:val="22"/>
                <w:szCs w:val="22"/>
                <w:lang w:val="es-ES" w:eastAsia="ar-SA"/>
              </w:rPr>
              <w:t>. También se externa que este procedimiento podría vincularse con la Circular CIR-TN-033-2018 del 17 de diciembre del 2018 emitida por la Tesorería Nacional del Ministerio de Hacienda. Por lo que se señala que en la recomendación quede explícito la necesaria participación de l</w:t>
            </w:r>
            <w:r w:rsidR="00D40A61" w:rsidRPr="00EE5DC2">
              <w:rPr>
                <w:rFonts w:ascii="Times New Roman" w:eastAsia="Times New Roman" w:hAnsi="Times New Roman" w:cs="Times New Roman"/>
                <w:color w:val="auto"/>
                <w:sz w:val="22"/>
                <w:szCs w:val="22"/>
                <w:lang w:val="es-ES" w:eastAsia="ar-SA"/>
              </w:rPr>
              <w:t xml:space="preserve">as unidades ejecutoras en el diseño. </w:t>
            </w:r>
          </w:p>
          <w:p w14:paraId="1DEDD859" w14:textId="5280D45E" w:rsidR="00230FA3" w:rsidRPr="00EE5DC2" w:rsidRDefault="00D40A61" w:rsidP="00D40A61">
            <w:pPr>
              <w:pStyle w:val="Default"/>
              <w:ind w:left="0"/>
              <w:rPr>
                <w:rFonts w:ascii="Times New Roman" w:eastAsia="Times New Roman" w:hAnsi="Times New Roman" w:cs="Times New Roman"/>
                <w:color w:val="auto"/>
                <w:sz w:val="22"/>
                <w:szCs w:val="22"/>
                <w:lang w:val="es-ES" w:eastAsia="ar-SA"/>
              </w:rPr>
            </w:pPr>
            <w:r w:rsidRPr="00EE5DC2">
              <w:rPr>
                <w:rFonts w:ascii="Times New Roman" w:eastAsia="Times New Roman" w:hAnsi="Times New Roman" w:cs="Times New Roman"/>
                <w:color w:val="auto"/>
                <w:sz w:val="22"/>
                <w:szCs w:val="22"/>
                <w:lang w:val="es-ES" w:eastAsia="ar-SA"/>
              </w:rPr>
              <w:t xml:space="preserve">Adicionalmente, menciona que el procedimiento que se propone diseñar podría entonces convertirse en una norma </w:t>
            </w:r>
            <w:r w:rsidRPr="00EE5DC2">
              <w:rPr>
                <w:rFonts w:ascii="Times New Roman" w:eastAsia="Times New Roman" w:hAnsi="Times New Roman" w:cs="Times New Roman"/>
                <w:color w:val="auto"/>
                <w:sz w:val="22"/>
                <w:szCs w:val="22"/>
                <w:lang w:val="es-ES" w:eastAsia="ar-SA"/>
              </w:rPr>
              <w:lastRenderedPageBreak/>
              <w:t xml:space="preserve">específica interna para el control de los recursos públicos, sean estos con destino a reinvertirse como para que se custodien bajo la tutela de la Tesorería Nacional </w:t>
            </w:r>
          </w:p>
        </w:tc>
        <w:tc>
          <w:tcPr>
            <w:tcW w:w="426" w:type="dxa"/>
            <w:vAlign w:val="center"/>
          </w:tcPr>
          <w:p w14:paraId="48918EFF" w14:textId="55055B15" w:rsidR="00230FA3" w:rsidRPr="00EE5DC2" w:rsidRDefault="00230FA3" w:rsidP="001D3142">
            <w:pPr>
              <w:ind w:left="0"/>
              <w:rPr>
                <w:sz w:val="22"/>
                <w:szCs w:val="22"/>
              </w:rPr>
            </w:pPr>
            <w:r w:rsidRPr="00EE5DC2">
              <w:rPr>
                <w:sz w:val="22"/>
                <w:szCs w:val="22"/>
              </w:rPr>
              <w:lastRenderedPageBreak/>
              <w:t>X</w:t>
            </w:r>
          </w:p>
        </w:tc>
        <w:tc>
          <w:tcPr>
            <w:tcW w:w="567" w:type="dxa"/>
            <w:vAlign w:val="center"/>
          </w:tcPr>
          <w:p w14:paraId="13279D1D" w14:textId="77777777" w:rsidR="00230FA3" w:rsidRPr="00EE5DC2" w:rsidRDefault="00230FA3" w:rsidP="00A330D6">
            <w:pPr>
              <w:jc w:val="center"/>
              <w:rPr>
                <w:sz w:val="22"/>
                <w:szCs w:val="22"/>
              </w:rPr>
            </w:pPr>
          </w:p>
        </w:tc>
        <w:tc>
          <w:tcPr>
            <w:tcW w:w="1133" w:type="dxa"/>
          </w:tcPr>
          <w:p w14:paraId="6E567E36" w14:textId="77777777" w:rsidR="00230FA3" w:rsidRPr="00EE5DC2" w:rsidRDefault="00230FA3" w:rsidP="003220A7">
            <w:pPr>
              <w:rPr>
                <w:sz w:val="22"/>
                <w:szCs w:val="22"/>
                <w:lang w:val="es-CR"/>
              </w:rPr>
            </w:pPr>
          </w:p>
        </w:tc>
        <w:tc>
          <w:tcPr>
            <w:tcW w:w="5387" w:type="dxa"/>
          </w:tcPr>
          <w:p w14:paraId="1BAB4EAA" w14:textId="77777777" w:rsidR="00230FA3" w:rsidRPr="00EE5DC2" w:rsidRDefault="00230FA3" w:rsidP="00D40A61">
            <w:pPr>
              <w:ind w:left="0"/>
              <w:rPr>
                <w:sz w:val="22"/>
                <w:szCs w:val="22"/>
              </w:rPr>
            </w:pPr>
            <w:r w:rsidRPr="00EE5DC2">
              <w:rPr>
                <w:sz w:val="22"/>
                <w:szCs w:val="22"/>
                <w:lang w:val="es-CR"/>
              </w:rPr>
              <w:t xml:space="preserve">La Auditoría Interna considera pertinente modificar el hallazgo, ampliando el comentario respecto a </w:t>
            </w:r>
            <w:r w:rsidR="00D40A61" w:rsidRPr="00EE5DC2">
              <w:rPr>
                <w:sz w:val="22"/>
                <w:szCs w:val="22"/>
                <w:lang w:val="es-CR"/>
              </w:rPr>
              <w:t xml:space="preserve">los recursos públicos sean estos con destino a reinvertirse como para aquellos que se custodien bajo la tutela del Ministerio de Hacienda, ello en concordancia con </w:t>
            </w:r>
            <w:r w:rsidRPr="00EE5DC2">
              <w:rPr>
                <w:sz w:val="22"/>
                <w:szCs w:val="22"/>
                <w:lang w:val="es-CR"/>
              </w:rPr>
              <w:t xml:space="preserve">lo dispuesto en la circular  </w:t>
            </w:r>
            <w:r w:rsidRPr="00EE5DC2">
              <w:rPr>
                <w:sz w:val="22"/>
                <w:szCs w:val="22"/>
              </w:rPr>
              <w:t>CIR-TN-033-2018 de la Tesorería Nacional</w:t>
            </w:r>
            <w:r w:rsidR="00D40A61" w:rsidRPr="00EE5DC2">
              <w:rPr>
                <w:sz w:val="22"/>
                <w:szCs w:val="22"/>
              </w:rPr>
              <w:t>.</w:t>
            </w:r>
            <w:r w:rsidR="00A330D6" w:rsidRPr="00EE5DC2">
              <w:rPr>
                <w:sz w:val="22"/>
                <w:szCs w:val="22"/>
              </w:rPr>
              <w:t xml:space="preserve"> Por lo que la recomendación se modifica de la siguiente manera:</w:t>
            </w:r>
          </w:p>
          <w:p w14:paraId="71C31828" w14:textId="040ADA9B" w:rsidR="00A330D6" w:rsidRPr="00EE5DC2" w:rsidRDefault="00A330D6" w:rsidP="00D40A61">
            <w:pPr>
              <w:ind w:left="0"/>
              <w:rPr>
                <w:i/>
                <w:sz w:val="22"/>
                <w:szCs w:val="22"/>
                <w:lang w:val="es-CR"/>
              </w:rPr>
            </w:pPr>
            <w:r w:rsidRPr="00EE5DC2">
              <w:rPr>
                <w:i/>
                <w:sz w:val="22"/>
                <w:szCs w:val="22"/>
              </w:rPr>
              <w:t>Apoyar al Viceministerio de Planificación Institucional y Coordinación Regional en el diseño, divulgación e implementación de normativas específicas a nivel ministerial para el control de los recursos públicos, sean estos con destino a reinvertirse como para aquellos que se custodien bajo la tutela del Ministerio de Hacienda</w:t>
            </w:r>
          </w:p>
        </w:tc>
      </w:tr>
      <w:tr w:rsidR="00A330D6" w:rsidRPr="00A330D6" w14:paraId="0F56FCEE" w14:textId="77777777" w:rsidTr="00D40A61">
        <w:tc>
          <w:tcPr>
            <w:tcW w:w="1271" w:type="dxa"/>
            <w:vAlign w:val="center"/>
          </w:tcPr>
          <w:p w14:paraId="7C126468" w14:textId="15F5961E" w:rsidR="00230FA3" w:rsidRPr="00A330D6" w:rsidRDefault="00230FA3" w:rsidP="00AB04B3">
            <w:pPr>
              <w:ind w:left="0"/>
              <w:jc w:val="center"/>
              <w:rPr>
                <w:color w:val="FF0000"/>
                <w:sz w:val="22"/>
                <w:szCs w:val="22"/>
              </w:rPr>
            </w:pPr>
            <w:r w:rsidRPr="00EE5DC2">
              <w:rPr>
                <w:sz w:val="22"/>
                <w:szCs w:val="22"/>
              </w:rPr>
              <w:t>13</w:t>
            </w:r>
          </w:p>
        </w:tc>
        <w:tc>
          <w:tcPr>
            <w:tcW w:w="3969" w:type="dxa"/>
            <w:vAlign w:val="center"/>
          </w:tcPr>
          <w:p w14:paraId="68A2E017" w14:textId="2591FBB9" w:rsidR="00230FA3" w:rsidRPr="00A330D6" w:rsidRDefault="00230FA3" w:rsidP="00A408BA">
            <w:pPr>
              <w:pStyle w:val="Default"/>
              <w:ind w:left="0"/>
              <w:rPr>
                <w:rFonts w:ascii="Times New Roman" w:eastAsia="Times New Roman" w:hAnsi="Times New Roman" w:cs="Times New Roman"/>
                <w:color w:val="FF0000"/>
                <w:sz w:val="22"/>
                <w:szCs w:val="22"/>
                <w:lang w:val="es-ES" w:eastAsia="ar-SA"/>
              </w:rPr>
            </w:pPr>
            <w:r w:rsidRPr="00EE5DC2">
              <w:rPr>
                <w:rFonts w:ascii="Times New Roman" w:eastAsia="Times New Roman" w:hAnsi="Times New Roman" w:cs="Times New Roman"/>
                <w:color w:val="auto"/>
                <w:sz w:val="22"/>
                <w:szCs w:val="22"/>
                <w:lang w:val="es-ES" w:eastAsia="ar-SA"/>
              </w:rPr>
              <w:t>Mediante oficio M-A-DRH-3828-2019-DIR del 21 de febrero de 2019, se indica de la divulgación del documento: “DRH-PRO-06-DGD-064 Manual de Procedimiento Ordinario” generado por el Departamento de Gestión Disciplinaria de la Dirección de Recursos Humanos, donde se describe en el punto 4: la Política Operativa del Procedimiento Ordinario, aplicable a los funcionarios administrativos del Ministerio de Educación Pública y las particularidades del proceso que conllevan el procedimiento ordinario disciplinario previsto en la Ley General de la Administración Pública.</w:t>
            </w:r>
          </w:p>
        </w:tc>
        <w:tc>
          <w:tcPr>
            <w:tcW w:w="426" w:type="dxa"/>
            <w:vAlign w:val="center"/>
          </w:tcPr>
          <w:p w14:paraId="4B7BCB5D" w14:textId="6E25EB38" w:rsidR="00230FA3" w:rsidRPr="00EE5DC2" w:rsidRDefault="00230FA3" w:rsidP="004D24BB">
            <w:pPr>
              <w:ind w:left="0"/>
              <w:jc w:val="center"/>
              <w:rPr>
                <w:sz w:val="22"/>
                <w:szCs w:val="22"/>
              </w:rPr>
            </w:pPr>
            <w:r w:rsidRPr="00EE5DC2">
              <w:rPr>
                <w:sz w:val="22"/>
                <w:szCs w:val="22"/>
              </w:rPr>
              <w:t>X</w:t>
            </w:r>
          </w:p>
        </w:tc>
        <w:tc>
          <w:tcPr>
            <w:tcW w:w="567" w:type="dxa"/>
            <w:vAlign w:val="center"/>
          </w:tcPr>
          <w:p w14:paraId="67359609" w14:textId="4BB3DFCF" w:rsidR="00230FA3" w:rsidRPr="00EE5DC2" w:rsidRDefault="00230FA3" w:rsidP="00A330D6">
            <w:pPr>
              <w:jc w:val="center"/>
              <w:rPr>
                <w:sz w:val="22"/>
                <w:szCs w:val="22"/>
              </w:rPr>
            </w:pPr>
          </w:p>
        </w:tc>
        <w:tc>
          <w:tcPr>
            <w:tcW w:w="1133" w:type="dxa"/>
          </w:tcPr>
          <w:p w14:paraId="1017EB18" w14:textId="77777777" w:rsidR="00230FA3" w:rsidRPr="00EE5DC2" w:rsidRDefault="00230FA3" w:rsidP="004D24BB">
            <w:pPr>
              <w:jc w:val="center"/>
              <w:rPr>
                <w:sz w:val="22"/>
                <w:szCs w:val="22"/>
                <w:lang w:val="es-CR"/>
              </w:rPr>
            </w:pPr>
          </w:p>
        </w:tc>
        <w:tc>
          <w:tcPr>
            <w:tcW w:w="5387" w:type="dxa"/>
            <w:vAlign w:val="center"/>
          </w:tcPr>
          <w:p w14:paraId="0DC9BCA7" w14:textId="0734CFE3" w:rsidR="00230FA3" w:rsidRPr="00EE5DC2" w:rsidRDefault="00230FA3" w:rsidP="004D24BB">
            <w:pPr>
              <w:ind w:left="0"/>
              <w:jc w:val="center"/>
              <w:rPr>
                <w:sz w:val="22"/>
                <w:szCs w:val="22"/>
                <w:lang w:val="es-CR"/>
              </w:rPr>
            </w:pPr>
            <w:r w:rsidRPr="00EE5DC2">
              <w:rPr>
                <w:sz w:val="22"/>
                <w:szCs w:val="22"/>
                <w:lang w:val="es-CR"/>
              </w:rPr>
              <w:t>Cumplida</w:t>
            </w:r>
          </w:p>
        </w:tc>
      </w:tr>
    </w:tbl>
    <w:p w14:paraId="3CB4F19C" w14:textId="77777777" w:rsidR="007B2A56" w:rsidRPr="008F5244" w:rsidRDefault="007B2A56" w:rsidP="00A330D6">
      <w:pPr>
        <w:pStyle w:val="Sinespaciado"/>
        <w:rPr>
          <w:lang w:val="es-CR" w:eastAsia="es-ES"/>
        </w:rPr>
      </w:pPr>
    </w:p>
    <w:sectPr w:rsidR="007B2A56" w:rsidRPr="008F5244" w:rsidSect="00D40A61">
      <w:pgSz w:w="15840" w:h="12240" w:orient="landscape" w:code="1"/>
      <w:pgMar w:top="1701" w:right="1134"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0759" w14:textId="77777777" w:rsidR="00B02893" w:rsidRDefault="00B02893" w:rsidP="006E3FF9">
      <w:r>
        <w:separator/>
      </w:r>
    </w:p>
  </w:endnote>
  <w:endnote w:type="continuationSeparator" w:id="0">
    <w:p w14:paraId="472E0AE4" w14:textId="77777777" w:rsidR="00B02893" w:rsidRDefault="00B02893"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B15B" w14:textId="4D8BAB59" w:rsidR="007E4547" w:rsidRDefault="007E4547"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r>
    <w:r>
      <w:rPr>
        <w:b/>
        <w:bCs/>
        <w:lang w:eastAsia="es-ES"/>
      </w:rPr>
      <w:tab/>
    </w:r>
    <w:r>
      <w:rPr>
        <w:b/>
        <w:bCs/>
        <w:lang w:eastAsia="es-ES"/>
      </w:rPr>
      <w:tab/>
    </w:r>
    <w:r w:rsidRPr="0049389B">
      <w:rPr>
        <w:b/>
        <w:bCs/>
        <w:lang w:eastAsia="es-ES"/>
      </w:rPr>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633176">
      <w:rPr>
        <w:b/>
        <w:bCs/>
        <w:noProof/>
        <w:lang w:eastAsia="es-ES"/>
      </w:rPr>
      <w:t>6</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633176">
      <w:rPr>
        <w:b/>
        <w:bCs/>
        <w:noProof/>
        <w:lang w:eastAsia="es-ES"/>
      </w:rPr>
      <w:t>26</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EB9A" w14:textId="77BE34F9" w:rsidR="007E4547" w:rsidRDefault="007E4547" w:rsidP="00A330D6">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r>
    <w:r>
      <w:rPr>
        <w:b/>
        <w:bCs/>
        <w:lang w:eastAsia="es-ES"/>
      </w:rPr>
      <w:tab/>
    </w:r>
    <w:r>
      <w:rPr>
        <w:b/>
        <w:bCs/>
        <w:lang w:eastAsia="es-ES"/>
      </w:rPr>
      <w:tab/>
    </w:r>
    <w:r w:rsidRPr="0049389B">
      <w:rPr>
        <w:b/>
        <w:bCs/>
        <w:lang w:eastAsia="es-ES"/>
      </w:rPr>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633176">
      <w:rPr>
        <w:b/>
        <w:bCs/>
        <w:noProof/>
        <w:lang w:eastAsia="es-ES"/>
      </w:rPr>
      <w:t>1</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633176">
      <w:rPr>
        <w:b/>
        <w:bCs/>
        <w:noProof/>
        <w:lang w:eastAsia="es-ES"/>
      </w:rPr>
      <w:t>26</w:t>
    </w:r>
    <w:r w:rsidRPr="0049389B">
      <w:rPr>
        <w:b/>
        <w:bCs/>
        <w:lang w:eastAsia="es-ES"/>
      </w:rPr>
      <w:fldChar w:fldCharType="end"/>
    </w:r>
  </w:p>
  <w:p w14:paraId="1A116BA7" w14:textId="069FA552" w:rsidR="007E4547" w:rsidRPr="00D82982" w:rsidRDefault="007E4547" w:rsidP="00F9081B">
    <w:pPr>
      <w:pStyle w:val="Piedepgina"/>
      <w:jc w:val="both"/>
      <w:rPr>
        <w:b/>
        <w:color w:val="FF0000"/>
      </w:rPr>
    </w:pP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F26C0" w14:textId="77777777" w:rsidR="00B02893" w:rsidRDefault="00B02893" w:rsidP="006E3FF9">
      <w:r>
        <w:separator/>
      </w:r>
    </w:p>
  </w:footnote>
  <w:footnote w:type="continuationSeparator" w:id="0">
    <w:p w14:paraId="614C2BA8" w14:textId="77777777" w:rsidR="00B02893" w:rsidRDefault="00B02893"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74A23" w14:textId="10D2B4AF" w:rsidR="007E4547" w:rsidRPr="0049389B" w:rsidRDefault="007E4547"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633176">
      <w:rPr>
        <w:b/>
        <w:bCs/>
        <w:szCs w:val="28"/>
        <w:lang w:eastAsia="es-ES"/>
      </w:rPr>
      <w:t>16</w:t>
    </w:r>
    <w:r w:rsidRPr="001707C9">
      <w:rPr>
        <w:b/>
        <w:bCs/>
        <w:szCs w:val="28"/>
        <w:lang w:eastAsia="es-ES"/>
      </w:rPr>
      <w:t>-1</w:t>
    </w:r>
    <w:r>
      <w:rPr>
        <w:b/>
        <w:bCs/>
        <w:szCs w:val="28"/>
        <w:lang w:eastAsia="es-ES"/>
      </w:rPr>
      <w:t>9 DIRECCIÓN DE PROGRAMAS DE EQUIDAD</w:t>
    </w:r>
  </w:p>
  <w:p w14:paraId="5D33EC2B" w14:textId="77777777" w:rsidR="007E4547" w:rsidRPr="00A6549D" w:rsidRDefault="007E4547"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D0481" w14:textId="62D0FDA6" w:rsidR="007E4547" w:rsidRDefault="007E454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FE0048E" wp14:editId="5097C571">
              <wp:simplePos x="0" y="0"/>
              <wp:positionH relativeFrom="margin">
                <wp:align>right</wp:align>
              </wp:positionH>
              <wp:positionV relativeFrom="paragraph">
                <wp:posOffset>187960</wp:posOffset>
              </wp:positionV>
              <wp:extent cx="3390900"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41871"/>
                      </a:xfrm>
                      <a:prstGeom prst="rect">
                        <a:avLst/>
                      </a:prstGeom>
                      <a:noFill/>
                      <a:ln>
                        <a:noFill/>
                      </a:ln>
                      <a:extLst/>
                    </wps:spPr>
                    <wps:txbx>
                      <w:txbxContent>
                        <w:p w14:paraId="6300B944" w14:textId="1CE8AF24" w:rsidR="007E4547" w:rsidRPr="00585653" w:rsidRDefault="007E4547"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85653">
                            <w:rPr>
                              <w:rFonts w:ascii="Times New Roman" w:hAnsi="Times New Roman"/>
                              <w:b/>
                              <w:szCs w:val="24"/>
                              <w:lang w:val="es-ES" w:eastAsia="es-ES"/>
                            </w:rPr>
                            <w:t xml:space="preserve">INFORME </w:t>
                          </w:r>
                          <w:r w:rsidR="00633176">
                            <w:rPr>
                              <w:rFonts w:ascii="Times New Roman" w:hAnsi="Times New Roman"/>
                              <w:b/>
                              <w:szCs w:val="24"/>
                              <w:lang w:val="es-ES" w:eastAsia="es-ES"/>
                            </w:rPr>
                            <w:t>16</w:t>
                          </w:r>
                          <w:r w:rsidRPr="00585653">
                            <w:rPr>
                              <w:rFonts w:ascii="Times New Roman" w:hAnsi="Times New Roman"/>
                              <w:b/>
                              <w:szCs w:val="24"/>
                              <w:lang w:val="es-ES" w:eastAsia="es-ES"/>
                            </w:rPr>
                            <w:t>-1</w:t>
                          </w:r>
                          <w:r>
                            <w:rPr>
                              <w:rFonts w:ascii="Times New Roman" w:hAnsi="Times New Roman"/>
                              <w:b/>
                              <w:szCs w:val="24"/>
                              <w:lang w:val="es-ES" w:eastAsia="es-ES"/>
                            </w:rPr>
                            <w:t>9</w:t>
                          </w:r>
                        </w:p>
                        <w:p w14:paraId="2DD04BD5" w14:textId="77777777" w:rsidR="007E4547" w:rsidRPr="00585653" w:rsidRDefault="007E4547" w:rsidP="00585653">
                          <w:pPr>
                            <w:pStyle w:val="Encabezado"/>
                            <w:tabs>
                              <w:tab w:val="clear" w:pos="4320"/>
                              <w:tab w:val="clear" w:pos="8640"/>
                              <w:tab w:val="center" w:pos="4252"/>
                              <w:tab w:val="right" w:pos="8504"/>
                            </w:tabs>
                            <w:suppressAutoHyphens w:val="0"/>
                            <w:rPr>
                              <w:rFonts w:ascii="Times New Roman" w:hAnsi="Times New Roman"/>
                              <w:b/>
                              <w:szCs w:val="24"/>
                              <w:lang w:val="es-ES" w:eastAsia="es-ES"/>
                            </w:rPr>
                          </w:pPr>
                          <w:r w:rsidRPr="00585653">
                            <w:rPr>
                              <w:rFonts w:ascii="Times New Roman" w:hAnsi="Times New Roman"/>
                              <w:b/>
                              <w:szCs w:val="24"/>
                              <w:lang w:val="es-ES" w:eastAsia="es-ES"/>
                            </w:rPr>
                            <w:t>DIRECCIÓN DE PROGRAMAS DE EQUIDAD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048E" id="_x0000_t202" coordsize="21600,21600" o:spt="202" path="m,l,21600r21600,l21600,xe">
              <v:stroke joinstyle="miter"/>
              <v:path gradientshapeok="t" o:connecttype="rect"/>
            </v:shapetype>
            <v:shape id="Text Box 1" o:spid="_x0000_s1026" type="#_x0000_t202" style="position:absolute;margin-left:215.8pt;margin-top:14.8pt;width:26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" filled="f" stroked="f">
              <v:textbox>
                <w:txbxContent>
                  <w:p w14:paraId="6300B944" w14:textId="1CE8AF24" w:rsidR="007E4547" w:rsidRPr="00585653" w:rsidRDefault="007E4547"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85653">
                      <w:rPr>
                        <w:rFonts w:ascii="Times New Roman" w:hAnsi="Times New Roman"/>
                        <w:b/>
                        <w:szCs w:val="24"/>
                        <w:lang w:val="es-ES" w:eastAsia="es-ES"/>
                      </w:rPr>
                      <w:t xml:space="preserve">INFORME </w:t>
                    </w:r>
                    <w:r w:rsidR="00633176">
                      <w:rPr>
                        <w:rFonts w:ascii="Times New Roman" w:hAnsi="Times New Roman"/>
                        <w:b/>
                        <w:szCs w:val="24"/>
                        <w:lang w:val="es-ES" w:eastAsia="es-ES"/>
                      </w:rPr>
                      <w:t>16</w:t>
                    </w:r>
                    <w:r w:rsidRPr="00585653">
                      <w:rPr>
                        <w:rFonts w:ascii="Times New Roman" w:hAnsi="Times New Roman"/>
                        <w:b/>
                        <w:szCs w:val="24"/>
                        <w:lang w:val="es-ES" w:eastAsia="es-ES"/>
                      </w:rPr>
                      <w:t>-1</w:t>
                    </w:r>
                    <w:r>
                      <w:rPr>
                        <w:rFonts w:ascii="Times New Roman" w:hAnsi="Times New Roman"/>
                        <w:b/>
                        <w:szCs w:val="24"/>
                        <w:lang w:val="es-ES" w:eastAsia="es-ES"/>
                      </w:rPr>
                      <w:t>9</w:t>
                    </w:r>
                  </w:p>
                  <w:p w14:paraId="2DD04BD5" w14:textId="77777777" w:rsidR="007E4547" w:rsidRPr="00585653" w:rsidRDefault="007E4547" w:rsidP="00585653">
                    <w:pPr>
                      <w:pStyle w:val="Encabezado"/>
                      <w:tabs>
                        <w:tab w:val="clear" w:pos="4320"/>
                        <w:tab w:val="clear" w:pos="8640"/>
                        <w:tab w:val="center" w:pos="4252"/>
                        <w:tab w:val="right" w:pos="8504"/>
                      </w:tabs>
                      <w:suppressAutoHyphens w:val="0"/>
                      <w:rPr>
                        <w:rFonts w:ascii="Times New Roman" w:hAnsi="Times New Roman"/>
                        <w:b/>
                        <w:szCs w:val="24"/>
                        <w:lang w:val="es-ES" w:eastAsia="es-ES"/>
                      </w:rPr>
                    </w:pPr>
                    <w:r w:rsidRPr="00585653">
                      <w:rPr>
                        <w:rFonts w:ascii="Times New Roman" w:hAnsi="Times New Roman"/>
                        <w:b/>
                        <w:szCs w:val="24"/>
                        <w:lang w:val="es-ES" w:eastAsia="es-ES"/>
                      </w:rPr>
                      <w:t>DIRECCIÓN DE PROGRAMAS DE EQUIDAD</w:t>
                    </w:r>
                  </w:p>
                </w:txbxContent>
              </v:textbox>
              <w10:wrap anchorx="margin"/>
            </v:shape>
          </w:pict>
        </mc:Fallback>
      </mc:AlternateContent>
    </w:r>
    <w:r>
      <w:rPr>
        <w:rFonts w:ascii="Times New Roman" w:hAnsi="Times New Roman"/>
        <w:noProof/>
        <w:lang w:eastAsia="es-CR"/>
      </w:rPr>
      <w:drawing>
        <wp:inline distT="0" distB="0" distL="0" distR="0" wp14:anchorId="7C9EE422" wp14:editId="76A2EA3A">
          <wp:extent cx="2392680" cy="646981"/>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14:paraId="05B2A255" w14:textId="77777777" w:rsidR="007E4547" w:rsidRDefault="007E4547" w:rsidP="003002FB">
    <w:pPr>
      <w:pStyle w:val="Encabezado"/>
      <w:pBdr>
        <w:bottom w:val="single" w:sz="4" w:space="1" w:color="auto"/>
      </w:pBdr>
      <w:tabs>
        <w:tab w:val="left" w:pos="6237"/>
        <w:tab w:val="right" w:pos="7797"/>
      </w:tabs>
    </w:pPr>
  </w:p>
  <w:p w14:paraId="310A45B6" w14:textId="77777777" w:rsidR="007E4547" w:rsidRDefault="007E4547" w:rsidP="003002FB">
    <w:pPr>
      <w:pStyle w:val="Encabezado"/>
      <w:pBdr>
        <w:bottom w:val="single" w:sz="4" w:space="1" w:color="auto"/>
      </w:pBdr>
      <w:tabs>
        <w:tab w:val="left" w:pos="6237"/>
        <w:tab w:val="right" w:pos="7797"/>
      </w:tabs>
    </w:pPr>
  </w:p>
  <w:p w14:paraId="72211EBF" w14:textId="77777777" w:rsidR="007E4547" w:rsidRDefault="007E45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4670"/>
    <w:multiLevelType w:val="hybridMultilevel"/>
    <w:tmpl w:val="03A0855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0F736BEC"/>
    <w:multiLevelType w:val="hybridMultilevel"/>
    <w:tmpl w:val="ADB214D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27D7FD3"/>
    <w:multiLevelType w:val="hybridMultilevel"/>
    <w:tmpl w:val="E902A33A"/>
    <w:lvl w:ilvl="0" w:tplc="95263638">
      <w:start w:val="1"/>
      <w:numFmt w:val="decimal"/>
      <w:suff w:val="nothing"/>
      <w:lvlText w:val="%1."/>
      <w:lvlJc w:val="left"/>
      <w:pPr>
        <w:ind w:left="420" w:hanging="360"/>
      </w:pPr>
      <w:rPr>
        <w:rFonts w:hint="default"/>
        <w:b/>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3" w15:restartNumberingAfterBreak="0">
    <w:nsid w:val="1B6C2FEF"/>
    <w:multiLevelType w:val="multilevel"/>
    <w:tmpl w:val="535206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4356E"/>
    <w:multiLevelType w:val="multilevel"/>
    <w:tmpl w:val="08A4F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707C0"/>
    <w:multiLevelType w:val="hybridMultilevel"/>
    <w:tmpl w:val="E8E671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1F741E7"/>
    <w:multiLevelType w:val="hybridMultilevel"/>
    <w:tmpl w:val="AA724650"/>
    <w:lvl w:ilvl="0" w:tplc="140A0001">
      <w:start w:val="1"/>
      <w:numFmt w:val="bullet"/>
      <w:lvlText w:val=""/>
      <w:lvlJc w:val="left"/>
      <w:pPr>
        <w:ind w:left="-624" w:hanging="360"/>
      </w:pPr>
      <w:rPr>
        <w:rFonts w:ascii="Symbol" w:hAnsi="Symbol" w:hint="default"/>
      </w:rPr>
    </w:lvl>
    <w:lvl w:ilvl="1" w:tplc="140A0003" w:tentative="1">
      <w:start w:val="1"/>
      <w:numFmt w:val="bullet"/>
      <w:lvlText w:val="o"/>
      <w:lvlJc w:val="left"/>
      <w:pPr>
        <w:ind w:left="96" w:hanging="360"/>
      </w:pPr>
      <w:rPr>
        <w:rFonts w:ascii="Courier New" w:hAnsi="Courier New" w:cs="Courier New" w:hint="default"/>
      </w:rPr>
    </w:lvl>
    <w:lvl w:ilvl="2" w:tplc="140A0005" w:tentative="1">
      <w:start w:val="1"/>
      <w:numFmt w:val="bullet"/>
      <w:lvlText w:val=""/>
      <w:lvlJc w:val="left"/>
      <w:pPr>
        <w:ind w:left="816" w:hanging="360"/>
      </w:pPr>
      <w:rPr>
        <w:rFonts w:ascii="Wingdings" w:hAnsi="Wingdings" w:hint="default"/>
      </w:rPr>
    </w:lvl>
    <w:lvl w:ilvl="3" w:tplc="140A0001" w:tentative="1">
      <w:start w:val="1"/>
      <w:numFmt w:val="bullet"/>
      <w:lvlText w:val=""/>
      <w:lvlJc w:val="left"/>
      <w:pPr>
        <w:ind w:left="1536" w:hanging="360"/>
      </w:pPr>
      <w:rPr>
        <w:rFonts w:ascii="Symbol" w:hAnsi="Symbol" w:hint="default"/>
      </w:rPr>
    </w:lvl>
    <w:lvl w:ilvl="4" w:tplc="140A0003" w:tentative="1">
      <w:start w:val="1"/>
      <w:numFmt w:val="bullet"/>
      <w:lvlText w:val="o"/>
      <w:lvlJc w:val="left"/>
      <w:pPr>
        <w:ind w:left="2256" w:hanging="360"/>
      </w:pPr>
      <w:rPr>
        <w:rFonts w:ascii="Courier New" w:hAnsi="Courier New" w:cs="Courier New" w:hint="default"/>
      </w:rPr>
    </w:lvl>
    <w:lvl w:ilvl="5" w:tplc="140A0005" w:tentative="1">
      <w:start w:val="1"/>
      <w:numFmt w:val="bullet"/>
      <w:lvlText w:val=""/>
      <w:lvlJc w:val="left"/>
      <w:pPr>
        <w:ind w:left="2976" w:hanging="360"/>
      </w:pPr>
      <w:rPr>
        <w:rFonts w:ascii="Wingdings" w:hAnsi="Wingdings" w:hint="default"/>
      </w:rPr>
    </w:lvl>
    <w:lvl w:ilvl="6" w:tplc="140A0001" w:tentative="1">
      <w:start w:val="1"/>
      <w:numFmt w:val="bullet"/>
      <w:lvlText w:val=""/>
      <w:lvlJc w:val="left"/>
      <w:pPr>
        <w:ind w:left="3696" w:hanging="360"/>
      </w:pPr>
      <w:rPr>
        <w:rFonts w:ascii="Symbol" w:hAnsi="Symbol" w:hint="default"/>
      </w:rPr>
    </w:lvl>
    <w:lvl w:ilvl="7" w:tplc="140A0003" w:tentative="1">
      <w:start w:val="1"/>
      <w:numFmt w:val="bullet"/>
      <w:lvlText w:val="o"/>
      <w:lvlJc w:val="left"/>
      <w:pPr>
        <w:ind w:left="4416" w:hanging="360"/>
      </w:pPr>
      <w:rPr>
        <w:rFonts w:ascii="Courier New" w:hAnsi="Courier New" w:cs="Courier New" w:hint="default"/>
      </w:rPr>
    </w:lvl>
    <w:lvl w:ilvl="8" w:tplc="140A0005" w:tentative="1">
      <w:start w:val="1"/>
      <w:numFmt w:val="bullet"/>
      <w:lvlText w:val=""/>
      <w:lvlJc w:val="left"/>
      <w:pPr>
        <w:ind w:left="5136" w:hanging="360"/>
      </w:pPr>
      <w:rPr>
        <w:rFonts w:ascii="Wingdings" w:hAnsi="Wingdings" w:hint="default"/>
      </w:rPr>
    </w:lvl>
  </w:abstractNum>
  <w:abstractNum w:abstractNumId="7" w15:restartNumberingAfterBreak="0">
    <w:nsid w:val="26D8725B"/>
    <w:multiLevelType w:val="hybridMultilevel"/>
    <w:tmpl w:val="B3D6BE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94E2EC0"/>
    <w:multiLevelType w:val="hybridMultilevel"/>
    <w:tmpl w:val="BBAEBD08"/>
    <w:lvl w:ilvl="0" w:tplc="66D8D03A">
      <w:start w:val="1"/>
      <w:numFmt w:val="decimal"/>
      <w:suff w:val="nothing"/>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98725F5"/>
    <w:multiLevelType w:val="hybridMultilevel"/>
    <w:tmpl w:val="423C753A"/>
    <w:lvl w:ilvl="0" w:tplc="CAE65D92">
      <w:start w:val="1"/>
      <w:numFmt w:val="decimal"/>
      <w:lvlText w:val="%1."/>
      <w:lvlJc w:val="left"/>
      <w:pPr>
        <w:ind w:left="720" w:hanging="36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0B07108"/>
    <w:multiLevelType w:val="hybridMultilevel"/>
    <w:tmpl w:val="2C98102C"/>
    <w:lvl w:ilvl="0" w:tplc="140A0001">
      <w:start w:val="1"/>
      <w:numFmt w:val="bullet"/>
      <w:lvlText w:val=""/>
      <w:lvlJc w:val="left"/>
      <w:pPr>
        <w:ind w:left="717" w:hanging="360"/>
      </w:pPr>
      <w:rPr>
        <w:rFonts w:ascii="Symbol" w:hAnsi="Symbol" w:hint="default"/>
      </w:rPr>
    </w:lvl>
    <w:lvl w:ilvl="1" w:tplc="140A0003" w:tentative="1">
      <w:start w:val="1"/>
      <w:numFmt w:val="bullet"/>
      <w:lvlText w:val="o"/>
      <w:lvlJc w:val="left"/>
      <w:pPr>
        <w:ind w:left="1437" w:hanging="360"/>
      </w:pPr>
      <w:rPr>
        <w:rFonts w:ascii="Courier New" w:hAnsi="Courier New" w:cs="Courier New" w:hint="default"/>
      </w:rPr>
    </w:lvl>
    <w:lvl w:ilvl="2" w:tplc="140A0005" w:tentative="1">
      <w:start w:val="1"/>
      <w:numFmt w:val="bullet"/>
      <w:lvlText w:val=""/>
      <w:lvlJc w:val="left"/>
      <w:pPr>
        <w:ind w:left="2157" w:hanging="360"/>
      </w:pPr>
      <w:rPr>
        <w:rFonts w:ascii="Wingdings" w:hAnsi="Wingdings" w:hint="default"/>
      </w:rPr>
    </w:lvl>
    <w:lvl w:ilvl="3" w:tplc="140A0001" w:tentative="1">
      <w:start w:val="1"/>
      <w:numFmt w:val="bullet"/>
      <w:lvlText w:val=""/>
      <w:lvlJc w:val="left"/>
      <w:pPr>
        <w:ind w:left="2877" w:hanging="360"/>
      </w:pPr>
      <w:rPr>
        <w:rFonts w:ascii="Symbol" w:hAnsi="Symbol" w:hint="default"/>
      </w:rPr>
    </w:lvl>
    <w:lvl w:ilvl="4" w:tplc="140A0003" w:tentative="1">
      <w:start w:val="1"/>
      <w:numFmt w:val="bullet"/>
      <w:lvlText w:val="o"/>
      <w:lvlJc w:val="left"/>
      <w:pPr>
        <w:ind w:left="3597" w:hanging="360"/>
      </w:pPr>
      <w:rPr>
        <w:rFonts w:ascii="Courier New" w:hAnsi="Courier New" w:cs="Courier New" w:hint="default"/>
      </w:rPr>
    </w:lvl>
    <w:lvl w:ilvl="5" w:tplc="140A0005" w:tentative="1">
      <w:start w:val="1"/>
      <w:numFmt w:val="bullet"/>
      <w:lvlText w:val=""/>
      <w:lvlJc w:val="left"/>
      <w:pPr>
        <w:ind w:left="4317" w:hanging="360"/>
      </w:pPr>
      <w:rPr>
        <w:rFonts w:ascii="Wingdings" w:hAnsi="Wingdings" w:hint="default"/>
      </w:rPr>
    </w:lvl>
    <w:lvl w:ilvl="6" w:tplc="140A0001" w:tentative="1">
      <w:start w:val="1"/>
      <w:numFmt w:val="bullet"/>
      <w:lvlText w:val=""/>
      <w:lvlJc w:val="left"/>
      <w:pPr>
        <w:ind w:left="5037" w:hanging="360"/>
      </w:pPr>
      <w:rPr>
        <w:rFonts w:ascii="Symbol" w:hAnsi="Symbol" w:hint="default"/>
      </w:rPr>
    </w:lvl>
    <w:lvl w:ilvl="7" w:tplc="140A0003" w:tentative="1">
      <w:start w:val="1"/>
      <w:numFmt w:val="bullet"/>
      <w:lvlText w:val="o"/>
      <w:lvlJc w:val="left"/>
      <w:pPr>
        <w:ind w:left="5757" w:hanging="360"/>
      </w:pPr>
      <w:rPr>
        <w:rFonts w:ascii="Courier New" w:hAnsi="Courier New" w:cs="Courier New" w:hint="default"/>
      </w:rPr>
    </w:lvl>
    <w:lvl w:ilvl="8" w:tplc="140A0005" w:tentative="1">
      <w:start w:val="1"/>
      <w:numFmt w:val="bullet"/>
      <w:lvlText w:val=""/>
      <w:lvlJc w:val="left"/>
      <w:pPr>
        <w:ind w:left="6477" w:hanging="360"/>
      </w:pPr>
      <w:rPr>
        <w:rFonts w:ascii="Wingdings" w:hAnsi="Wingdings" w:hint="default"/>
      </w:rPr>
    </w:lvl>
  </w:abstractNum>
  <w:abstractNum w:abstractNumId="1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4EF4FD1"/>
    <w:multiLevelType w:val="hybridMultilevel"/>
    <w:tmpl w:val="97A86E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6CA4179"/>
    <w:multiLevelType w:val="hybridMultilevel"/>
    <w:tmpl w:val="F54641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DAB32DD"/>
    <w:multiLevelType w:val="hybridMultilevel"/>
    <w:tmpl w:val="94DA06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08E72F7"/>
    <w:multiLevelType w:val="hybridMultilevel"/>
    <w:tmpl w:val="89587A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1F66FBA"/>
    <w:multiLevelType w:val="hybridMultilevel"/>
    <w:tmpl w:val="1C64A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2A93D36"/>
    <w:multiLevelType w:val="hybridMultilevel"/>
    <w:tmpl w:val="2AF208E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66B16F06"/>
    <w:multiLevelType w:val="hybridMultilevel"/>
    <w:tmpl w:val="6FC43B18"/>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7C2A4A"/>
    <w:multiLevelType w:val="hybridMultilevel"/>
    <w:tmpl w:val="AD204C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72FF6437"/>
    <w:multiLevelType w:val="multilevel"/>
    <w:tmpl w:val="D86C25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7025FF"/>
    <w:multiLevelType w:val="hybridMultilevel"/>
    <w:tmpl w:val="B8425C80"/>
    <w:lvl w:ilvl="0" w:tplc="140A000F">
      <w:start w:val="1"/>
      <w:numFmt w:val="decimal"/>
      <w:lvlText w:val="%1."/>
      <w:lvlJc w:val="left"/>
      <w:pPr>
        <w:ind w:left="786"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1"/>
  </w:num>
  <w:num w:numId="2">
    <w:abstractNumId w:val="13"/>
  </w:num>
  <w:num w:numId="3">
    <w:abstractNumId w:val="5"/>
  </w:num>
  <w:num w:numId="4">
    <w:abstractNumId w:val="15"/>
  </w:num>
  <w:num w:numId="5">
    <w:abstractNumId w:val="16"/>
  </w:num>
  <w:num w:numId="6">
    <w:abstractNumId w:val="4"/>
  </w:num>
  <w:num w:numId="7">
    <w:abstractNumId w:val="9"/>
  </w:num>
  <w:num w:numId="8">
    <w:abstractNumId w:val="8"/>
  </w:num>
  <w:num w:numId="9">
    <w:abstractNumId w:val="2"/>
  </w:num>
  <w:num w:numId="10">
    <w:abstractNumId w:val="1"/>
  </w:num>
  <w:num w:numId="11">
    <w:abstractNumId w:val="18"/>
  </w:num>
  <w:num w:numId="12">
    <w:abstractNumId w:val="21"/>
  </w:num>
  <w:num w:numId="13">
    <w:abstractNumId w:val="17"/>
  </w:num>
  <w:num w:numId="14">
    <w:abstractNumId w:val="10"/>
  </w:num>
  <w:num w:numId="15">
    <w:abstractNumId w:val="6"/>
  </w:num>
  <w:num w:numId="16">
    <w:abstractNumId w:val="12"/>
  </w:num>
  <w:num w:numId="17">
    <w:abstractNumId w:val="14"/>
  </w:num>
  <w:num w:numId="18">
    <w:abstractNumId w:val="7"/>
  </w:num>
  <w:num w:numId="19">
    <w:abstractNumId w:val="19"/>
  </w:num>
  <w:num w:numId="20">
    <w:abstractNumId w:val="0"/>
  </w:num>
  <w:num w:numId="21">
    <w:abstractNumId w:val="3"/>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727"/>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6E24"/>
    <w:rsid w:val="00007926"/>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55C"/>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6FCA"/>
    <w:rsid w:val="0002705F"/>
    <w:rsid w:val="00030B40"/>
    <w:rsid w:val="00030C20"/>
    <w:rsid w:val="000314B4"/>
    <w:rsid w:val="00031693"/>
    <w:rsid w:val="00031975"/>
    <w:rsid w:val="00031E63"/>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784"/>
    <w:rsid w:val="00036AE8"/>
    <w:rsid w:val="00036C8A"/>
    <w:rsid w:val="00037030"/>
    <w:rsid w:val="0003703F"/>
    <w:rsid w:val="00037484"/>
    <w:rsid w:val="00037ECA"/>
    <w:rsid w:val="0004027B"/>
    <w:rsid w:val="000421F6"/>
    <w:rsid w:val="00042510"/>
    <w:rsid w:val="0004295F"/>
    <w:rsid w:val="00042AE5"/>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252"/>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572"/>
    <w:rsid w:val="00066827"/>
    <w:rsid w:val="000669DD"/>
    <w:rsid w:val="00067340"/>
    <w:rsid w:val="00067C49"/>
    <w:rsid w:val="00070355"/>
    <w:rsid w:val="00070649"/>
    <w:rsid w:val="0007096A"/>
    <w:rsid w:val="00071B52"/>
    <w:rsid w:val="00071DF4"/>
    <w:rsid w:val="000723EB"/>
    <w:rsid w:val="00072419"/>
    <w:rsid w:val="0007267A"/>
    <w:rsid w:val="00072714"/>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4CC"/>
    <w:rsid w:val="00081DDD"/>
    <w:rsid w:val="00081EDE"/>
    <w:rsid w:val="00081F08"/>
    <w:rsid w:val="00082030"/>
    <w:rsid w:val="00082099"/>
    <w:rsid w:val="000822ED"/>
    <w:rsid w:val="0008250B"/>
    <w:rsid w:val="00082A02"/>
    <w:rsid w:val="00082DE6"/>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239"/>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62D"/>
    <w:rsid w:val="000B3C5E"/>
    <w:rsid w:val="000B3CDF"/>
    <w:rsid w:val="000B4085"/>
    <w:rsid w:val="000B54AD"/>
    <w:rsid w:val="000B5D75"/>
    <w:rsid w:val="000B6C30"/>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1792"/>
    <w:rsid w:val="000D1B9B"/>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38D"/>
    <w:rsid w:val="000E0C40"/>
    <w:rsid w:val="000E0D96"/>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1F4"/>
    <w:rsid w:val="000E44E2"/>
    <w:rsid w:val="000E4956"/>
    <w:rsid w:val="000E4B8F"/>
    <w:rsid w:val="000E4E71"/>
    <w:rsid w:val="000E53FE"/>
    <w:rsid w:val="000E56AF"/>
    <w:rsid w:val="000E57C3"/>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69BF"/>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5E42"/>
    <w:rsid w:val="001067B1"/>
    <w:rsid w:val="001067EE"/>
    <w:rsid w:val="00107A2F"/>
    <w:rsid w:val="00110104"/>
    <w:rsid w:val="001106A2"/>
    <w:rsid w:val="001109C4"/>
    <w:rsid w:val="00110CD3"/>
    <w:rsid w:val="00110E4A"/>
    <w:rsid w:val="0011109C"/>
    <w:rsid w:val="00111993"/>
    <w:rsid w:val="001125D9"/>
    <w:rsid w:val="001135AB"/>
    <w:rsid w:val="001137BC"/>
    <w:rsid w:val="00113DE9"/>
    <w:rsid w:val="00114841"/>
    <w:rsid w:val="001148B7"/>
    <w:rsid w:val="00114A71"/>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1DBB"/>
    <w:rsid w:val="0012210D"/>
    <w:rsid w:val="001226F7"/>
    <w:rsid w:val="00122D0C"/>
    <w:rsid w:val="00122E67"/>
    <w:rsid w:val="00123042"/>
    <w:rsid w:val="00123B6A"/>
    <w:rsid w:val="00123FF0"/>
    <w:rsid w:val="0012440A"/>
    <w:rsid w:val="00124B34"/>
    <w:rsid w:val="00124C70"/>
    <w:rsid w:val="0012507A"/>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27E42"/>
    <w:rsid w:val="00127E65"/>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2D1"/>
    <w:rsid w:val="0013673B"/>
    <w:rsid w:val="00136D0F"/>
    <w:rsid w:val="00137210"/>
    <w:rsid w:val="00137B54"/>
    <w:rsid w:val="00140217"/>
    <w:rsid w:val="0014024B"/>
    <w:rsid w:val="00140736"/>
    <w:rsid w:val="001409CF"/>
    <w:rsid w:val="0014166A"/>
    <w:rsid w:val="00141698"/>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9D2"/>
    <w:rsid w:val="00147DF3"/>
    <w:rsid w:val="00147F98"/>
    <w:rsid w:val="00150290"/>
    <w:rsid w:val="001502FE"/>
    <w:rsid w:val="001505C6"/>
    <w:rsid w:val="0015077B"/>
    <w:rsid w:val="0015094B"/>
    <w:rsid w:val="00150A28"/>
    <w:rsid w:val="0015177A"/>
    <w:rsid w:val="00151997"/>
    <w:rsid w:val="00151A91"/>
    <w:rsid w:val="00151AC5"/>
    <w:rsid w:val="00152166"/>
    <w:rsid w:val="00152173"/>
    <w:rsid w:val="00152FB1"/>
    <w:rsid w:val="00152FC5"/>
    <w:rsid w:val="0015344E"/>
    <w:rsid w:val="00153787"/>
    <w:rsid w:val="001552BF"/>
    <w:rsid w:val="001556B0"/>
    <w:rsid w:val="001558AE"/>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31B"/>
    <w:rsid w:val="0016298B"/>
    <w:rsid w:val="00163016"/>
    <w:rsid w:val="0016387A"/>
    <w:rsid w:val="001639A6"/>
    <w:rsid w:val="00163CFD"/>
    <w:rsid w:val="00163E69"/>
    <w:rsid w:val="00164112"/>
    <w:rsid w:val="00164541"/>
    <w:rsid w:val="00164CAE"/>
    <w:rsid w:val="001652AE"/>
    <w:rsid w:val="00165A7D"/>
    <w:rsid w:val="00165AAA"/>
    <w:rsid w:val="0016605E"/>
    <w:rsid w:val="00166820"/>
    <w:rsid w:val="00166877"/>
    <w:rsid w:val="001671BB"/>
    <w:rsid w:val="001673E0"/>
    <w:rsid w:val="00167A4B"/>
    <w:rsid w:val="00167BD1"/>
    <w:rsid w:val="00167E48"/>
    <w:rsid w:val="001707C9"/>
    <w:rsid w:val="0017093E"/>
    <w:rsid w:val="00170B3B"/>
    <w:rsid w:val="00170C11"/>
    <w:rsid w:val="00170C44"/>
    <w:rsid w:val="00170E2A"/>
    <w:rsid w:val="00171F3D"/>
    <w:rsid w:val="0017220E"/>
    <w:rsid w:val="00172874"/>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14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30"/>
    <w:rsid w:val="00184966"/>
    <w:rsid w:val="00185233"/>
    <w:rsid w:val="0018590E"/>
    <w:rsid w:val="00185941"/>
    <w:rsid w:val="00185985"/>
    <w:rsid w:val="001860D2"/>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35"/>
    <w:rsid w:val="001B2CF6"/>
    <w:rsid w:val="001B2ED3"/>
    <w:rsid w:val="001B3185"/>
    <w:rsid w:val="001B34CA"/>
    <w:rsid w:val="001B371C"/>
    <w:rsid w:val="001B37DB"/>
    <w:rsid w:val="001B410B"/>
    <w:rsid w:val="001B422A"/>
    <w:rsid w:val="001B4572"/>
    <w:rsid w:val="001B46F6"/>
    <w:rsid w:val="001B475A"/>
    <w:rsid w:val="001B4A14"/>
    <w:rsid w:val="001B5235"/>
    <w:rsid w:val="001B5293"/>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59D3"/>
    <w:rsid w:val="001C6229"/>
    <w:rsid w:val="001C63B6"/>
    <w:rsid w:val="001C6443"/>
    <w:rsid w:val="001C64F8"/>
    <w:rsid w:val="001C6756"/>
    <w:rsid w:val="001C69C7"/>
    <w:rsid w:val="001C716F"/>
    <w:rsid w:val="001C7A07"/>
    <w:rsid w:val="001C7A38"/>
    <w:rsid w:val="001C7C2E"/>
    <w:rsid w:val="001C7C5F"/>
    <w:rsid w:val="001D0129"/>
    <w:rsid w:val="001D05E2"/>
    <w:rsid w:val="001D0656"/>
    <w:rsid w:val="001D06CA"/>
    <w:rsid w:val="001D0A36"/>
    <w:rsid w:val="001D0F78"/>
    <w:rsid w:val="001D1349"/>
    <w:rsid w:val="001D1708"/>
    <w:rsid w:val="001D1825"/>
    <w:rsid w:val="001D1A67"/>
    <w:rsid w:val="001D26DD"/>
    <w:rsid w:val="001D2B48"/>
    <w:rsid w:val="001D2CF1"/>
    <w:rsid w:val="001D3047"/>
    <w:rsid w:val="001D3142"/>
    <w:rsid w:val="001D33BF"/>
    <w:rsid w:val="001D3F17"/>
    <w:rsid w:val="001D4219"/>
    <w:rsid w:val="001D4234"/>
    <w:rsid w:val="001D46DF"/>
    <w:rsid w:val="001D4AE2"/>
    <w:rsid w:val="001D5126"/>
    <w:rsid w:val="001D55F1"/>
    <w:rsid w:val="001D59D3"/>
    <w:rsid w:val="001D59FE"/>
    <w:rsid w:val="001D68BA"/>
    <w:rsid w:val="001D6FFE"/>
    <w:rsid w:val="001D7656"/>
    <w:rsid w:val="001D76DB"/>
    <w:rsid w:val="001D7D2A"/>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11"/>
    <w:rsid w:val="001E508A"/>
    <w:rsid w:val="001E5538"/>
    <w:rsid w:val="001E555C"/>
    <w:rsid w:val="001E5816"/>
    <w:rsid w:val="001E585D"/>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31A"/>
    <w:rsid w:val="0021046D"/>
    <w:rsid w:val="002105A8"/>
    <w:rsid w:val="00210A5D"/>
    <w:rsid w:val="00210AD2"/>
    <w:rsid w:val="00210AE4"/>
    <w:rsid w:val="00210C5C"/>
    <w:rsid w:val="00211787"/>
    <w:rsid w:val="00211CF8"/>
    <w:rsid w:val="002124BD"/>
    <w:rsid w:val="002132E0"/>
    <w:rsid w:val="00213B94"/>
    <w:rsid w:val="00214398"/>
    <w:rsid w:val="00214641"/>
    <w:rsid w:val="0021482B"/>
    <w:rsid w:val="002149B9"/>
    <w:rsid w:val="002150A8"/>
    <w:rsid w:val="002152E6"/>
    <w:rsid w:val="00215682"/>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8BC"/>
    <w:rsid w:val="00225DEE"/>
    <w:rsid w:val="002266DE"/>
    <w:rsid w:val="00226803"/>
    <w:rsid w:val="00226B74"/>
    <w:rsid w:val="00227061"/>
    <w:rsid w:val="00227089"/>
    <w:rsid w:val="0022756D"/>
    <w:rsid w:val="002276AB"/>
    <w:rsid w:val="002276FD"/>
    <w:rsid w:val="002305AB"/>
    <w:rsid w:val="002308C0"/>
    <w:rsid w:val="0023091B"/>
    <w:rsid w:val="00230B9B"/>
    <w:rsid w:val="00230C47"/>
    <w:rsid w:val="00230FA3"/>
    <w:rsid w:val="00231030"/>
    <w:rsid w:val="0023110F"/>
    <w:rsid w:val="002314BE"/>
    <w:rsid w:val="00231926"/>
    <w:rsid w:val="002321DF"/>
    <w:rsid w:val="002325EA"/>
    <w:rsid w:val="00232A80"/>
    <w:rsid w:val="0023347E"/>
    <w:rsid w:val="00233566"/>
    <w:rsid w:val="00233A32"/>
    <w:rsid w:val="00233D94"/>
    <w:rsid w:val="00233DB5"/>
    <w:rsid w:val="00234818"/>
    <w:rsid w:val="00234B88"/>
    <w:rsid w:val="00235300"/>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C80"/>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0F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3"/>
    <w:rsid w:val="002570BA"/>
    <w:rsid w:val="002576EF"/>
    <w:rsid w:val="00257885"/>
    <w:rsid w:val="00257C42"/>
    <w:rsid w:val="00257F81"/>
    <w:rsid w:val="00260657"/>
    <w:rsid w:val="00260839"/>
    <w:rsid w:val="00260ADA"/>
    <w:rsid w:val="00261567"/>
    <w:rsid w:val="00263C2E"/>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604"/>
    <w:rsid w:val="00270A31"/>
    <w:rsid w:val="00270D69"/>
    <w:rsid w:val="002711B4"/>
    <w:rsid w:val="002717BC"/>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3F42"/>
    <w:rsid w:val="00284103"/>
    <w:rsid w:val="0028410F"/>
    <w:rsid w:val="002846D8"/>
    <w:rsid w:val="002848BC"/>
    <w:rsid w:val="00284AD8"/>
    <w:rsid w:val="00284ECA"/>
    <w:rsid w:val="002851D7"/>
    <w:rsid w:val="002853FA"/>
    <w:rsid w:val="00285709"/>
    <w:rsid w:val="00285C07"/>
    <w:rsid w:val="00285D13"/>
    <w:rsid w:val="00285F27"/>
    <w:rsid w:val="002863F5"/>
    <w:rsid w:val="00286484"/>
    <w:rsid w:val="00287031"/>
    <w:rsid w:val="00287877"/>
    <w:rsid w:val="00287CA3"/>
    <w:rsid w:val="00290BCB"/>
    <w:rsid w:val="002912CB"/>
    <w:rsid w:val="00291A53"/>
    <w:rsid w:val="0029225A"/>
    <w:rsid w:val="00292297"/>
    <w:rsid w:val="00292BBD"/>
    <w:rsid w:val="002930DE"/>
    <w:rsid w:val="00293288"/>
    <w:rsid w:val="00293820"/>
    <w:rsid w:val="00293B68"/>
    <w:rsid w:val="00293C22"/>
    <w:rsid w:val="00294064"/>
    <w:rsid w:val="00294C7E"/>
    <w:rsid w:val="00294DFB"/>
    <w:rsid w:val="00294EFD"/>
    <w:rsid w:val="00295027"/>
    <w:rsid w:val="002952FE"/>
    <w:rsid w:val="002954E6"/>
    <w:rsid w:val="00295767"/>
    <w:rsid w:val="0029578D"/>
    <w:rsid w:val="00295E6C"/>
    <w:rsid w:val="00295F82"/>
    <w:rsid w:val="002963F4"/>
    <w:rsid w:val="00296472"/>
    <w:rsid w:val="00296645"/>
    <w:rsid w:val="00296730"/>
    <w:rsid w:val="0029693E"/>
    <w:rsid w:val="00296CB9"/>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19F"/>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46"/>
    <w:rsid w:val="002B26E9"/>
    <w:rsid w:val="002B2849"/>
    <w:rsid w:val="002B2A1D"/>
    <w:rsid w:val="002B37CD"/>
    <w:rsid w:val="002B3D54"/>
    <w:rsid w:val="002B472D"/>
    <w:rsid w:val="002B4778"/>
    <w:rsid w:val="002B48EF"/>
    <w:rsid w:val="002B495F"/>
    <w:rsid w:val="002B4EAE"/>
    <w:rsid w:val="002B5279"/>
    <w:rsid w:val="002B543C"/>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79F"/>
    <w:rsid w:val="002C4851"/>
    <w:rsid w:val="002C4D11"/>
    <w:rsid w:val="002C4DF3"/>
    <w:rsid w:val="002C53C8"/>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31B"/>
    <w:rsid w:val="002D5696"/>
    <w:rsid w:val="002D5C13"/>
    <w:rsid w:val="002D5CF0"/>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2E9"/>
    <w:rsid w:val="002F044D"/>
    <w:rsid w:val="002F060F"/>
    <w:rsid w:val="002F099C"/>
    <w:rsid w:val="002F0FE0"/>
    <w:rsid w:val="002F10BB"/>
    <w:rsid w:val="002F160B"/>
    <w:rsid w:val="002F1689"/>
    <w:rsid w:val="002F187E"/>
    <w:rsid w:val="002F23C6"/>
    <w:rsid w:val="002F2529"/>
    <w:rsid w:val="002F28FA"/>
    <w:rsid w:val="002F2C15"/>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C34"/>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4D96"/>
    <w:rsid w:val="00304DFA"/>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55E"/>
    <w:rsid w:val="00311828"/>
    <w:rsid w:val="0031183F"/>
    <w:rsid w:val="00311C71"/>
    <w:rsid w:val="00311E24"/>
    <w:rsid w:val="0031204B"/>
    <w:rsid w:val="00312128"/>
    <w:rsid w:val="0031214E"/>
    <w:rsid w:val="00313015"/>
    <w:rsid w:val="0031350A"/>
    <w:rsid w:val="00313543"/>
    <w:rsid w:val="00313594"/>
    <w:rsid w:val="00313A65"/>
    <w:rsid w:val="00313B86"/>
    <w:rsid w:val="00314016"/>
    <w:rsid w:val="0031438E"/>
    <w:rsid w:val="00314710"/>
    <w:rsid w:val="00315528"/>
    <w:rsid w:val="00315BCD"/>
    <w:rsid w:val="00315EBA"/>
    <w:rsid w:val="003160CA"/>
    <w:rsid w:val="003169A6"/>
    <w:rsid w:val="00316D4D"/>
    <w:rsid w:val="00317469"/>
    <w:rsid w:val="003179BC"/>
    <w:rsid w:val="00317BAE"/>
    <w:rsid w:val="00317BB9"/>
    <w:rsid w:val="0032094B"/>
    <w:rsid w:val="00321278"/>
    <w:rsid w:val="00321383"/>
    <w:rsid w:val="003215CA"/>
    <w:rsid w:val="00321816"/>
    <w:rsid w:val="00321AC0"/>
    <w:rsid w:val="00321BB4"/>
    <w:rsid w:val="003220A7"/>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3E7A"/>
    <w:rsid w:val="00334211"/>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BF3"/>
    <w:rsid w:val="00345F1F"/>
    <w:rsid w:val="003466A1"/>
    <w:rsid w:val="00346AA1"/>
    <w:rsid w:val="00347A0E"/>
    <w:rsid w:val="00347AAC"/>
    <w:rsid w:val="00347AE1"/>
    <w:rsid w:val="00347FC9"/>
    <w:rsid w:val="00350A67"/>
    <w:rsid w:val="00350AAC"/>
    <w:rsid w:val="00350BA9"/>
    <w:rsid w:val="00350CA2"/>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CB"/>
    <w:rsid w:val="003708FE"/>
    <w:rsid w:val="00371866"/>
    <w:rsid w:val="00371E40"/>
    <w:rsid w:val="0037210C"/>
    <w:rsid w:val="00372760"/>
    <w:rsid w:val="00372785"/>
    <w:rsid w:val="00372B25"/>
    <w:rsid w:val="00372DE9"/>
    <w:rsid w:val="0037365D"/>
    <w:rsid w:val="0037395F"/>
    <w:rsid w:val="00373D67"/>
    <w:rsid w:val="0037406F"/>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606"/>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1D05"/>
    <w:rsid w:val="00392080"/>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9D4"/>
    <w:rsid w:val="00397A90"/>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CE0"/>
    <w:rsid w:val="003B0DEE"/>
    <w:rsid w:val="003B1A07"/>
    <w:rsid w:val="003B23FF"/>
    <w:rsid w:val="003B2617"/>
    <w:rsid w:val="003B32B8"/>
    <w:rsid w:val="003B3D0F"/>
    <w:rsid w:val="003B42B5"/>
    <w:rsid w:val="003B4CC6"/>
    <w:rsid w:val="003B53D7"/>
    <w:rsid w:val="003B5D9A"/>
    <w:rsid w:val="003B6201"/>
    <w:rsid w:val="003B62D9"/>
    <w:rsid w:val="003B6F83"/>
    <w:rsid w:val="003B7229"/>
    <w:rsid w:val="003B7478"/>
    <w:rsid w:val="003B79C5"/>
    <w:rsid w:val="003B7F35"/>
    <w:rsid w:val="003C00B1"/>
    <w:rsid w:val="003C00FF"/>
    <w:rsid w:val="003C017D"/>
    <w:rsid w:val="003C05F3"/>
    <w:rsid w:val="003C0A83"/>
    <w:rsid w:val="003C141C"/>
    <w:rsid w:val="003C1598"/>
    <w:rsid w:val="003C1825"/>
    <w:rsid w:val="003C1EC1"/>
    <w:rsid w:val="003C21AB"/>
    <w:rsid w:val="003C27AA"/>
    <w:rsid w:val="003C39B9"/>
    <w:rsid w:val="003C3B20"/>
    <w:rsid w:val="003C3C94"/>
    <w:rsid w:val="003C41AC"/>
    <w:rsid w:val="003C4561"/>
    <w:rsid w:val="003C4F91"/>
    <w:rsid w:val="003C55FC"/>
    <w:rsid w:val="003C5820"/>
    <w:rsid w:val="003C61AD"/>
    <w:rsid w:val="003C624A"/>
    <w:rsid w:val="003C62EA"/>
    <w:rsid w:val="003C63B1"/>
    <w:rsid w:val="003C661E"/>
    <w:rsid w:val="003C6660"/>
    <w:rsid w:val="003C6C75"/>
    <w:rsid w:val="003C6C7D"/>
    <w:rsid w:val="003C6E25"/>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DF8"/>
    <w:rsid w:val="003D6E29"/>
    <w:rsid w:val="003D6FD6"/>
    <w:rsid w:val="003D7AFB"/>
    <w:rsid w:val="003D7C17"/>
    <w:rsid w:val="003D7F6F"/>
    <w:rsid w:val="003E075D"/>
    <w:rsid w:val="003E0794"/>
    <w:rsid w:val="003E08DD"/>
    <w:rsid w:val="003E0A2E"/>
    <w:rsid w:val="003E0AF7"/>
    <w:rsid w:val="003E0B8C"/>
    <w:rsid w:val="003E1919"/>
    <w:rsid w:val="003E1A71"/>
    <w:rsid w:val="003E1CB7"/>
    <w:rsid w:val="003E25A5"/>
    <w:rsid w:val="003E26CB"/>
    <w:rsid w:val="003E2A46"/>
    <w:rsid w:val="003E313B"/>
    <w:rsid w:val="003E3479"/>
    <w:rsid w:val="003E3B5E"/>
    <w:rsid w:val="003E3C38"/>
    <w:rsid w:val="003E44D4"/>
    <w:rsid w:val="003E455D"/>
    <w:rsid w:val="003E4C06"/>
    <w:rsid w:val="003E4D10"/>
    <w:rsid w:val="003E4E87"/>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7B7"/>
    <w:rsid w:val="003F7A1C"/>
    <w:rsid w:val="003F7EFC"/>
    <w:rsid w:val="004001B3"/>
    <w:rsid w:val="004003DE"/>
    <w:rsid w:val="00400B47"/>
    <w:rsid w:val="00400FAB"/>
    <w:rsid w:val="00401211"/>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4FF"/>
    <w:rsid w:val="0040450B"/>
    <w:rsid w:val="0040479D"/>
    <w:rsid w:val="0040533D"/>
    <w:rsid w:val="00405600"/>
    <w:rsid w:val="00405759"/>
    <w:rsid w:val="00406263"/>
    <w:rsid w:val="00406A57"/>
    <w:rsid w:val="00406FA4"/>
    <w:rsid w:val="00407C42"/>
    <w:rsid w:val="00407EEC"/>
    <w:rsid w:val="004100C6"/>
    <w:rsid w:val="0041042B"/>
    <w:rsid w:val="00410AFE"/>
    <w:rsid w:val="0041127D"/>
    <w:rsid w:val="004117BE"/>
    <w:rsid w:val="00411EFD"/>
    <w:rsid w:val="004128B1"/>
    <w:rsid w:val="00413542"/>
    <w:rsid w:val="00413CD2"/>
    <w:rsid w:val="00413F63"/>
    <w:rsid w:val="00414004"/>
    <w:rsid w:val="0041408E"/>
    <w:rsid w:val="004141A5"/>
    <w:rsid w:val="004146EF"/>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0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6E29"/>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2BA6"/>
    <w:rsid w:val="0044332F"/>
    <w:rsid w:val="004437ED"/>
    <w:rsid w:val="004439A7"/>
    <w:rsid w:val="00444009"/>
    <w:rsid w:val="00444216"/>
    <w:rsid w:val="00444423"/>
    <w:rsid w:val="00444517"/>
    <w:rsid w:val="00444C80"/>
    <w:rsid w:val="00445007"/>
    <w:rsid w:val="00445135"/>
    <w:rsid w:val="00445775"/>
    <w:rsid w:val="00445E36"/>
    <w:rsid w:val="004467C8"/>
    <w:rsid w:val="00446830"/>
    <w:rsid w:val="00446F3C"/>
    <w:rsid w:val="004501EB"/>
    <w:rsid w:val="0045024A"/>
    <w:rsid w:val="00450699"/>
    <w:rsid w:val="004509E5"/>
    <w:rsid w:val="00450AA3"/>
    <w:rsid w:val="00450B54"/>
    <w:rsid w:val="004511E4"/>
    <w:rsid w:val="004511E7"/>
    <w:rsid w:val="00451229"/>
    <w:rsid w:val="00451314"/>
    <w:rsid w:val="0045169E"/>
    <w:rsid w:val="00451AA1"/>
    <w:rsid w:val="004523F4"/>
    <w:rsid w:val="0045378C"/>
    <w:rsid w:val="00453811"/>
    <w:rsid w:val="004539FE"/>
    <w:rsid w:val="00453C04"/>
    <w:rsid w:val="00453D12"/>
    <w:rsid w:val="00453DE2"/>
    <w:rsid w:val="00453DF0"/>
    <w:rsid w:val="00454338"/>
    <w:rsid w:val="00454464"/>
    <w:rsid w:val="00454872"/>
    <w:rsid w:val="00454893"/>
    <w:rsid w:val="004549CC"/>
    <w:rsid w:val="00455920"/>
    <w:rsid w:val="00455C27"/>
    <w:rsid w:val="00455C33"/>
    <w:rsid w:val="00456F91"/>
    <w:rsid w:val="00457148"/>
    <w:rsid w:val="0045768B"/>
    <w:rsid w:val="00457841"/>
    <w:rsid w:val="00457A7A"/>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5F3F"/>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BC6"/>
    <w:rsid w:val="00471C51"/>
    <w:rsid w:val="00472263"/>
    <w:rsid w:val="004723A0"/>
    <w:rsid w:val="00472721"/>
    <w:rsid w:val="00472786"/>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9D5"/>
    <w:rsid w:val="00481A83"/>
    <w:rsid w:val="00481DA9"/>
    <w:rsid w:val="00482179"/>
    <w:rsid w:val="00482215"/>
    <w:rsid w:val="004824DD"/>
    <w:rsid w:val="00482B02"/>
    <w:rsid w:val="00482CD7"/>
    <w:rsid w:val="0048339B"/>
    <w:rsid w:val="004839AB"/>
    <w:rsid w:val="00483CD6"/>
    <w:rsid w:val="00484250"/>
    <w:rsid w:val="004843E0"/>
    <w:rsid w:val="00484A08"/>
    <w:rsid w:val="0048516C"/>
    <w:rsid w:val="00486268"/>
    <w:rsid w:val="004866C4"/>
    <w:rsid w:val="00486FEB"/>
    <w:rsid w:val="0048745C"/>
    <w:rsid w:val="0048767F"/>
    <w:rsid w:val="004879A1"/>
    <w:rsid w:val="00487FAA"/>
    <w:rsid w:val="0049037B"/>
    <w:rsid w:val="004905B8"/>
    <w:rsid w:val="004910E6"/>
    <w:rsid w:val="00491317"/>
    <w:rsid w:val="004916DB"/>
    <w:rsid w:val="004930F0"/>
    <w:rsid w:val="00493359"/>
    <w:rsid w:val="00493577"/>
    <w:rsid w:val="0049389B"/>
    <w:rsid w:val="00493F55"/>
    <w:rsid w:val="00493F94"/>
    <w:rsid w:val="004942FE"/>
    <w:rsid w:val="004947AC"/>
    <w:rsid w:val="004949CA"/>
    <w:rsid w:val="00494EEF"/>
    <w:rsid w:val="004950B3"/>
    <w:rsid w:val="00495A00"/>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BEF"/>
    <w:rsid w:val="004A3DB8"/>
    <w:rsid w:val="004A4215"/>
    <w:rsid w:val="004A4C91"/>
    <w:rsid w:val="004A4E31"/>
    <w:rsid w:val="004A510D"/>
    <w:rsid w:val="004A55A3"/>
    <w:rsid w:val="004A5E5A"/>
    <w:rsid w:val="004A60BD"/>
    <w:rsid w:val="004A60EB"/>
    <w:rsid w:val="004A6604"/>
    <w:rsid w:val="004A72D5"/>
    <w:rsid w:val="004B0067"/>
    <w:rsid w:val="004B0755"/>
    <w:rsid w:val="004B0B90"/>
    <w:rsid w:val="004B1F31"/>
    <w:rsid w:val="004B2703"/>
    <w:rsid w:val="004B2C0A"/>
    <w:rsid w:val="004B3521"/>
    <w:rsid w:val="004B3596"/>
    <w:rsid w:val="004B36B6"/>
    <w:rsid w:val="004B3AD4"/>
    <w:rsid w:val="004B3DE6"/>
    <w:rsid w:val="004B3FA2"/>
    <w:rsid w:val="004B42FA"/>
    <w:rsid w:val="004B4445"/>
    <w:rsid w:val="004B468A"/>
    <w:rsid w:val="004B4751"/>
    <w:rsid w:val="004B4D40"/>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2"/>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C40"/>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4BB"/>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162"/>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1C9"/>
    <w:rsid w:val="00503732"/>
    <w:rsid w:val="00503F41"/>
    <w:rsid w:val="0050461B"/>
    <w:rsid w:val="00504A51"/>
    <w:rsid w:val="00504C15"/>
    <w:rsid w:val="005053AA"/>
    <w:rsid w:val="005060EE"/>
    <w:rsid w:val="0050628F"/>
    <w:rsid w:val="005066A3"/>
    <w:rsid w:val="00506BBD"/>
    <w:rsid w:val="00506EEB"/>
    <w:rsid w:val="00507091"/>
    <w:rsid w:val="00507358"/>
    <w:rsid w:val="00507A64"/>
    <w:rsid w:val="005100C7"/>
    <w:rsid w:val="00510A09"/>
    <w:rsid w:val="00510EFF"/>
    <w:rsid w:val="0051119F"/>
    <w:rsid w:val="00511284"/>
    <w:rsid w:val="00511596"/>
    <w:rsid w:val="005116A7"/>
    <w:rsid w:val="005119E7"/>
    <w:rsid w:val="00511FDA"/>
    <w:rsid w:val="005126A6"/>
    <w:rsid w:val="00512C37"/>
    <w:rsid w:val="005132C9"/>
    <w:rsid w:val="005133C3"/>
    <w:rsid w:val="005134D7"/>
    <w:rsid w:val="005143A1"/>
    <w:rsid w:val="0051440E"/>
    <w:rsid w:val="005146CF"/>
    <w:rsid w:val="005148D7"/>
    <w:rsid w:val="005155A1"/>
    <w:rsid w:val="00515920"/>
    <w:rsid w:val="00515FEF"/>
    <w:rsid w:val="00516574"/>
    <w:rsid w:val="00516CE8"/>
    <w:rsid w:val="0051730B"/>
    <w:rsid w:val="00517A5B"/>
    <w:rsid w:val="00517B0D"/>
    <w:rsid w:val="005203E9"/>
    <w:rsid w:val="00520602"/>
    <w:rsid w:val="00520A7B"/>
    <w:rsid w:val="00521630"/>
    <w:rsid w:val="005220E5"/>
    <w:rsid w:val="00522BFA"/>
    <w:rsid w:val="00523CE4"/>
    <w:rsid w:val="00524463"/>
    <w:rsid w:val="0052462F"/>
    <w:rsid w:val="00524742"/>
    <w:rsid w:val="0052495E"/>
    <w:rsid w:val="00524B8D"/>
    <w:rsid w:val="00524D3A"/>
    <w:rsid w:val="0052564B"/>
    <w:rsid w:val="00525990"/>
    <w:rsid w:val="00525BDE"/>
    <w:rsid w:val="005261EC"/>
    <w:rsid w:val="0052636A"/>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A9A"/>
    <w:rsid w:val="00537F17"/>
    <w:rsid w:val="00540252"/>
    <w:rsid w:val="00540652"/>
    <w:rsid w:val="00540D6A"/>
    <w:rsid w:val="005412A7"/>
    <w:rsid w:val="00541596"/>
    <w:rsid w:val="00541DD0"/>
    <w:rsid w:val="00541E65"/>
    <w:rsid w:val="0054225E"/>
    <w:rsid w:val="00542DA1"/>
    <w:rsid w:val="005431AE"/>
    <w:rsid w:val="005445F8"/>
    <w:rsid w:val="00544867"/>
    <w:rsid w:val="00544F5B"/>
    <w:rsid w:val="005453D7"/>
    <w:rsid w:val="0054548B"/>
    <w:rsid w:val="00545DE1"/>
    <w:rsid w:val="00546437"/>
    <w:rsid w:val="005469EC"/>
    <w:rsid w:val="00546A05"/>
    <w:rsid w:val="00546EB1"/>
    <w:rsid w:val="0054763F"/>
    <w:rsid w:val="0054797F"/>
    <w:rsid w:val="00550495"/>
    <w:rsid w:val="00550B6B"/>
    <w:rsid w:val="00550EF2"/>
    <w:rsid w:val="0055125A"/>
    <w:rsid w:val="00551357"/>
    <w:rsid w:val="00551479"/>
    <w:rsid w:val="00551A60"/>
    <w:rsid w:val="00551B50"/>
    <w:rsid w:val="00551C1A"/>
    <w:rsid w:val="00551C5D"/>
    <w:rsid w:val="005521ED"/>
    <w:rsid w:val="00552A5F"/>
    <w:rsid w:val="00553303"/>
    <w:rsid w:val="00553BBA"/>
    <w:rsid w:val="00553CC6"/>
    <w:rsid w:val="005546DE"/>
    <w:rsid w:val="0055554B"/>
    <w:rsid w:val="0055609F"/>
    <w:rsid w:val="005566E9"/>
    <w:rsid w:val="005568A3"/>
    <w:rsid w:val="00557734"/>
    <w:rsid w:val="00557A5E"/>
    <w:rsid w:val="00560431"/>
    <w:rsid w:val="005606F9"/>
    <w:rsid w:val="0056077B"/>
    <w:rsid w:val="00560AAC"/>
    <w:rsid w:val="00560AF9"/>
    <w:rsid w:val="00560EEA"/>
    <w:rsid w:val="00561694"/>
    <w:rsid w:val="00562564"/>
    <w:rsid w:val="00562B79"/>
    <w:rsid w:val="0056307C"/>
    <w:rsid w:val="00563E11"/>
    <w:rsid w:val="0056411F"/>
    <w:rsid w:val="005649D3"/>
    <w:rsid w:val="00564B41"/>
    <w:rsid w:val="005650F3"/>
    <w:rsid w:val="0056533C"/>
    <w:rsid w:val="0056560C"/>
    <w:rsid w:val="005657CB"/>
    <w:rsid w:val="00566305"/>
    <w:rsid w:val="00566430"/>
    <w:rsid w:val="0056650A"/>
    <w:rsid w:val="005668E2"/>
    <w:rsid w:val="00567206"/>
    <w:rsid w:val="00570309"/>
    <w:rsid w:val="0057094B"/>
    <w:rsid w:val="00570A09"/>
    <w:rsid w:val="005710B6"/>
    <w:rsid w:val="00571AA0"/>
    <w:rsid w:val="00572B16"/>
    <w:rsid w:val="00572CE3"/>
    <w:rsid w:val="00572E28"/>
    <w:rsid w:val="00572FB8"/>
    <w:rsid w:val="0057313D"/>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443"/>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653"/>
    <w:rsid w:val="0058571E"/>
    <w:rsid w:val="005858C6"/>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01F"/>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4FCB"/>
    <w:rsid w:val="005B5068"/>
    <w:rsid w:val="005B51CE"/>
    <w:rsid w:val="005B5208"/>
    <w:rsid w:val="005B569B"/>
    <w:rsid w:val="005B5944"/>
    <w:rsid w:val="005B5EC3"/>
    <w:rsid w:val="005B66A6"/>
    <w:rsid w:val="005B67A4"/>
    <w:rsid w:val="005B6C72"/>
    <w:rsid w:val="005B7A23"/>
    <w:rsid w:val="005B7AE3"/>
    <w:rsid w:val="005B7D5D"/>
    <w:rsid w:val="005B7DD9"/>
    <w:rsid w:val="005B7EFC"/>
    <w:rsid w:val="005C0429"/>
    <w:rsid w:val="005C0FA7"/>
    <w:rsid w:val="005C164D"/>
    <w:rsid w:val="005C1715"/>
    <w:rsid w:val="005C1AA3"/>
    <w:rsid w:val="005C2011"/>
    <w:rsid w:val="005C214E"/>
    <w:rsid w:val="005C2519"/>
    <w:rsid w:val="005C29EB"/>
    <w:rsid w:val="005C2DB0"/>
    <w:rsid w:val="005C39BA"/>
    <w:rsid w:val="005C3BE5"/>
    <w:rsid w:val="005C3E16"/>
    <w:rsid w:val="005C3EC3"/>
    <w:rsid w:val="005C43D8"/>
    <w:rsid w:val="005C4679"/>
    <w:rsid w:val="005C46FC"/>
    <w:rsid w:val="005C534B"/>
    <w:rsid w:val="005C58F6"/>
    <w:rsid w:val="005C5BD5"/>
    <w:rsid w:val="005C5DD1"/>
    <w:rsid w:val="005C649D"/>
    <w:rsid w:val="005C6672"/>
    <w:rsid w:val="005C6FEF"/>
    <w:rsid w:val="005C72A9"/>
    <w:rsid w:val="005C7D40"/>
    <w:rsid w:val="005C7EEE"/>
    <w:rsid w:val="005D02C8"/>
    <w:rsid w:val="005D0364"/>
    <w:rsid w:val="005D039B"/>
    <w:rsid w:val="005D0F54"/>
    <w:rsid w:val="005D1105"/>
    <w:rsid w:val="005D19C9"/>
    <w:rsid w:val="005D1B9B"/>
    <w:rsid w:val="005D1C98"/>
    <w:rsid w:val="005D27C6"/>
    <w:rsid w:val="005D367E"/>
    <w:rsid w:val="005D37A6"/>
    <w:rsid w:val="005D3E4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384"/>
    <w:rsid w:val="005F04B0"/>
    <w:rsid w:val="005F0F0B"/>
    <w:rsid w:val="005F1265"/>
    <w:rsid w:val="005F1E01"/>
    <w:rsid w:val="005F2625"/>
    <w:rsid w:val="005F262A"/>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16FB"/>
    <w:rsid w:val="0060232A"/>
    <w:rsid w:val="00602BD8"/>
    <w:rsid w:val="0060385A"/>
    <w:rsid w:val="00603ED9"/>
    <w:rsid w:val="0060407F"/>
    <w:rsid w:val="006040EA"/>
    <w:rsid w:val="0060425F"/>
    <w:rsid w:val="00605172"/>
    <w:rsid w:val="006052D5"/>
    <w:rsid w:val="00605B7E"/>
    <w:rsid w:val="00605BC6"/>
    <w:rsid w:val="00606240"/>
    <w:rsid w:val="00606ED9"/>
    <w:rsid w:val="00607145"/>
    <w:rsid w:val="00607347"/>
    <w:rsid w:val="00607369"/>
    <w:rsid w:val="0060774B"/>
    <w:rsid w:val="00607763"/>
    <w:rsid w:val="00607967"/>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5DC8"/>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607"/>
    <w:rsid w:val="006279F1"/>
    <w:rsid w:val="0063092A"/>
    <w:rsid w:val="00631558"/>
    <w:rsid w:val="00631C24"/>
    <w:rsid w:val="00631C2B"/>
    <w:rsid w:val="00633176"/>
    <w:rsid w:val="00633705"/>
    <w:rsid w:val="00633CD6"/>
    <w:rsid w:val="00633E6B"/>
    <w:rsid w:val="006343F9"/>
    <w:rsid w:val="00634CAA"/>
    <w:rsid w:val="00634ECC"/>
    <w:rsid w:val="00635549"/>
    <w:rsid w:val="00635984"/>
    <w:rsid w:val="006360CE"/>
    <w:rsid w:val="006366B2"/>
    <w:rsid w:val="00636D79"/>
    <w:rsid w:val="00637036"/>
    <w:rsid w:val="0063739C"/>
    <w:rsid w:val="00637740"/>
    <w:rsid w:val="0063780E"/>
    <w:rsid w:val="00637CF8"/>
    <w:rsid w:val="0064012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5A30"/>
    <w:rsid w:val="006460CE"/>
    <w:rsid w:val="00646136"/>
    <w:rsid w:val="00646C6D"/>
    <w:rsid w:val="00646DAE"/>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2BE4"/>
    <w:rsid w:val="00653248"/>
    <w:rsid w:val="006534D6"/>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3D45"/>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401"/>
    <w:rsid w:val="00682730"/>
    <w:rsid w:val="006827DC"/>
    <w:rsid w:val="006827E7"/>
    <w:rsid w:val="006829E5"/>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9C0"/>
    <w:rsid w:val="00697EBC"/>
    <w:rsid w:val="00697FDE"/>
    <w:rsid w:val="006A02D0"/>
    <w:rsid w:val="006A03DC"/>
    <w:rsid w:val="006A0815"/>
    <w:rsid w:val="006A0A38"/>
    <w:rsid w:val="006A1084"/>
    <w:rsid w:val="006A1AC8"/>
    <w:rsid w:val="006A1C14"/>
    <w:rsid w:val="006A2A8E"/>
    <w:rsid w:val="006A2DCE"/>
    <w:rsid w:val="006A2F3A"/>
    <w:rsid w:val="006A352B"/>
    <w:rsid w:val="006A3D28"/>
    <w:rsid w:val="006A4A99"/>
    <w:rsid w:val="006A4BD4"/>
    <w:rsid w:val="006A5456"/>
    <w:rsid w:val="006A5BBB"/>
    <w:rsid w:val="006A6791"/>
    <w:rsid w:val="006A7256"/>
    <w:rsid w:val="006A7523"/>
    <w:rsid w:val="006A7D31"/>
    <w:rsid w:val="006A7F0D"/>
    <w:rsid w:val="006B0096"/>
    <w:rsid w:val="006B0452"/>
    <w:rsid w:val="006B0EAF"/>
    <w:rsid w:val="006B1084"/>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6B17"/>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6D5"/>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23C0"/>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9E5"/>
    <w:rsid w:val="00714BE9"/>
    <w:rsid w:val="00714D8D"/>
    <w:rsid w:val="0071576B"/>
    <w:rsid w:val="00715AB1"/>
    <w:rsid w:val="00715BA3"/>
    <w:rsid w:val="00715EC4"/>
    <w:rsid w:val="00716345"/>
    <w:rsid w:val="00716D4E"/>
    <w:rsid w:val="00716DA4"/>
    <w:rsid w:val="00716E02"/>
    <w:rsid w:val="00717518"/>
    <w:rsid w:val="007178D5"/>
    <w:rsid w:val="00720693"/>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36E"/>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351"/>
    <w:rsid w:val="007404C7"/>
    <w:rsid w:val="00740978"/>
    <w:rsid w:val="007409F3"/>
    <w:rsid w:val="0074185F"/>
    <w:rsid w:val="0074191D"/>
    <w:rsid w:val="00741CA0"/>
    <w:rsid w:val="00741CF3"/>
    <w:rsid w:val="00742261"/>
    <w:rsid w:val="00742580"/>
    <w:rsid w:val="00742863"/>
    <w:rsid w:val="00742A7D"/>
    <w:rsid w:val="0074321C"/>
    <w:rsid w:val="007434B1"/>
    <w:rsid w:val="00743C21"/>
    <w:rsid w:val="00744B28"/>
    <w:rsid w:val="00745195"/>
    <w:rsid w:val="00745499"/>
    <w:rsid w:val="0074563F"/>
    <w:rsid w:val="007459D4"/>
    <w:rsid w:val="00745BA6"/>
    <w:rsid w:val="0074630F"/>
    <w:rsid w:val="007469CF"/>
    <w:rsid w:val="00747BC6"/>
    <w:rsid w:val="00750650"/>
    <w:rsid w:val="00750743"/>
    <w:rsid w:val="007512DA"/>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4CB"/>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8F6"/>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325B"/>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3"/>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A56"/>
    <w:rsid w:val="007B2F75"/>
    <w:rsid w:val="007B3112"/>
    <w:rsid w:val="007B49AB"/>
    <w:rsid w:val="007B5016"/>
    <w:rsid w:val="007B56EE"/>
    <w:rsid w:val="007B60A0"/>
    <w:rsid w:val="007B73F4"/>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3D"/>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547"/>
    <w:rsid w:val="007E4C67"/>
    <w:rsid w:val="007E51F8"/>
    <w:rsid w:val="007E60A6"/>
    <w:rsid w:val="007E702A"/>
    <w:rsid w:val="007E7B88"/>
    <w:rsid w:val="007E7EF9"/>
    <w:rsid w:val="007F081F"/>
    <w:rsid w:val="007F08BD"/>
    <w:rsid w:val="007F08C3"/>
    <w:rsid w:val="007F146D"/>
    <w:rsid w:val="007F18C9"/>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84D"/>
    <w:rsid w:val="007F6BE8"/>
    <w:rsid w:val="007F6E4D"/>
    <w:rsid w:val="007F6E87"/>
    <w:rsid w:val="007F749C"/>
    <w:rsid w:val="007F7AED"/>
    <w:rsid w:val="007F7C3B"/>
    <w:rsid w:val="00800229"/>
    <w:rsid w:val="00800809"/>
    <w:rsid w:val="00800CA3"/>
    <w:rsid w:val="008011D3"/>
    <w:rsid w:val="00801241"/>
    <w:rsid w:val="0080134C"/>
    <w:rsid w:val="00802328"/>
    <w:rsid w:val="00802BEE"/>
    <w:rsid w:val="00802FA8"/>
    <w:rsid w:val="00803020"/>
    <w:rsid w:val="00803927"/>
    <w:rsid w:val="00803C1A"/>
    <w:rsid w:val="00804531"/>
    <w:rsid w:val="008046F7"/>
    <w:rsid w:val="00804FFF"/>
    <w:rsid w:val="00805150"/>
    <w:rsid w:val="0080549C"/>
    <w:rsid w:val="008054A4"/>
    <w:rsid w:val="00805E03"/>
    <w:rsid w:val="00805E7D"/>
    <w:rsid w:val="008068B1"/>
    <w:rsid w:val="00806E70"/>
    <w:rsid w:val="00807A68"/>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1925"/>
    <w:rsid w:val="00822B8B"/>
    <w:rsid w:val="00822EB7"/>
    <w:rsid w:val="0082312F"/>
    <w:rsid w:val="008235B9"/>
    <w:rsid w:val="00823913"/>
    <w:rsid w:val="00823AD7"/>
    <w:rsid w:val="00823F9F"/>
    <w:rsid w:val="00824302"/>
    <w:rsid w:val="008249A6"/>
    <w:rsid w:val="00824C0F"/>
    <w:rsid w:val="0082562A"/>
    <w:rsid w:val="0082667E"/>
    <w:rsid w:val="00826CC6"/>
    <w:rsid w:val="00826ED3"/>
    <w:rsid w:val="00827217"/>
    <w:rsid w:val="008274A1"/>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071"/>
    <w:rsid w:val="008468EC"/>
    <w:rsid w:val="008470AD"/>
    <w:rsid w:val="008471C1"/>
    <w:rsid w:val="00847AAD"/>
    <w:rsid w:val="00847FD9"/>
    <w:rsid w:val="00850C6B"/>
    <w:rsid w:val="00850ED6"/>
    <w:rsid w:val="00850FDB"/>
    <w:rsid w:val="008510F7"/>
    <w:rsid w:val="0085129F"/>
    <w:rsid w:val="0085174B"/>
    <w:rsid w:val="00851C2A"/>
    <w:rsid w:val="00852344"/>
    <w:rsid w:val="00852C6C"/>
    <w:rsid w:val="00852D89"/>
    <w:rsid w:val="00852E86"/>
    <w:rsid w:val="008532C3"/>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4E3"/>
    <w:rsid w:val="0087255B"/>
    <w:rsid w:val="008725AA"/>
    <w:rsid w:val="00873255"/>
    <w:rsid w:val="0087330D"/>
    <w:rsid w:val="00873619"/>
    <w:rsid w:val="008737FB"/>
    <w:rsid w:val="00873889"/>
    <w:rsid w:val="0087394B"/>
    <w:rsid w:val="00873A8C"/>
    <w:rsid w:val="008744B2"/>
    <w:rsid w:val="00874980"/>
    <w:rsid w:val="00874CF7"/>
    <w:rsid w:val="00874D1F"/>
    <w:rsid w:val="00874DEE"/>
    <w:rsid w:val="008751E0"/>
    <w:rsid w:val="0087573C"/>
    <w:rsid w:val="00876C7F"/>
    <w:rsid w:val="008770C7"/>
    <w:rsid w:val="0087761F"/>
    <w:rsid w:val="00877B89"/>
    <w:rsid w:val="00877BA2"/>
    <w:rsid w:val="0088018A"/>
    <w:rsid w:val="0088039D"/>
    <w:rsid w:val="008809EF"/>
    <w:rsid w:val="00880BDA"/>
    <w:rsid w:val="0088101D"/>
    <w:rsid w:val="0088128B"/>
    <w:rsid w:val="00881336"/>
    <w:rsid w:val="00881683"/>
    <w:rsid w:val="0088175D"/>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4EED"/>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C4"/>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594"/>
    <w:rsid w:val="008D5839"/>
    <w:rsid w:val="008D60F0"/>
    <w:rsid w:val="008D6537"/>
    <w:rsid w:val="008D65A7"/>
    <w:rsid w:val="008D6ADC"/>
    <w:rsid w:val="008D6B84"/>
    <w:rsid w:val="008D7D9B"/>
    <w:rsid w:val="008D7E97"/>
    <w:rsid w:val="008D7EFF"/>
    <w:rsid w:val="008E0000"/>
    <w:rsid w:val="008E020F"/>
    <w:rsid w:val="008E02AD"/>
    <w:rsid w:val="008E0522"/>
    <w:rsid w:val="008E067E"/>
    <w:rsid w:val="008E07F2"/>
    <w:rsid w:val="008E0F46"/>
    <w:rsid w:val="008E1395"/>
    <w:rsid w:val="008E159E"/>
    <w:rsid w:val="008E1964"/>
    <w:rsid w:val="008E1EE8"/>
    <w:rsid w:val="008E236B"/>
    <w:rsid w:val="008E29A4"/>
    <w:rsid w:val="008E2C85"/>
    <w:rsid w:val="008E2F41"/>
    <w:rsid w:val="008E313F"/>
    <w:rsid w:val="008E337C"/>
    <w:rsid w:val="008E33A4"/>
    <w:rsid w:val="008E3637"/>
    <w:rsid w:val="008E3757"/>
    <w:rsid w:val="008E3A71"/>
    <w:rsid w:val="008E4D2D"/>
    <w:rsid w:val="008E5164"/>
    <w:rsid w:val="008E54B5"/>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2E9E"/>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14E"/>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06F1"/>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5C83"/>
    <w:rsid w:val="009366A8"/>
    <w:rsid w:val="009370EB"/>
    <w:rsid w:val="009372B2"/>
    <w:rsid w:val="00937434"/>
    <w:rsid w:val="00937492"/>
    <w:rsid w:val="00937D73"/>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B04"/>
    <w:rsid w:val="00946EFD"/>
    <w:rsid w:val="0094705E"/>
    <w:rsid w:val="00947BCE"/>
    <w:rsid w:val="00947E6A"/>
    <w:rsid w:val="009502DC"/>
    <w:rsid w:val="009505D8"/>
    <w:rsid w:val="00950870"/>
    <w:rsid w:val="00950C3E"/>
    <w:rsid w:val="0095100D"/>
    <w:rsid w:val="00951103"/>
    <w:rsid w:val="0095116F"/>
    <w:rsid w:val="009512AD"/>
    <w:rsid w:val="009514DE"/>
    <w:rsid w:val="0095158B"/>
    <w:rsid w:val="00951925"/>
    <w:rsid w:val="00952AC7"/>
    <w:rsid w:val="00952C1D"/>
    <w:rsid w:val="00953053"/>
    <w:rsid w:val="00953184"/>
    <w:rsid w:val="00953732"/>
    <w:rsid w:val="00953B15"/>
    <w:rsid w:val="00953B8D"/>
    <w:rsid w:val="009541EC"/>
    <w:rsid w:val="009543F7"/>
    <w:rsid w:val="00954B73"/>
    <w:rsid w:val="0095500F"/>
    <w:rsid w:val="0095568A"/>
    <w:rsid w:val="00955B62"/>
    <w:rsid w:val="00955BEA"/>
    <w:rsid w:val="00956190"/>
    <w:rsid w:val="00957C49"/>
    <w:rsid w:val="00960181"/>
    <w:rsid w:val="00961B65"/>
    <w:rsid w:val="00961E76"/>
    <w:rsid w:val="00961E80"/>
    <w:rsid w:val="00961F7F"/>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0D2"/>
    <w:rsid w:val="009662E5"/>
    <w:rsid w:val="00966557"/>
    <w:rsid w:val="00966987"/>
    <w:rsid w:val="00966F47"/>
    <w:rsid w:val="00967339"/>
    <w:rsid w:val="009673C9"/>
    <w:rsid w:val="0097018B"/>
    <w:rsid w:val="009708DD"/>
    <w:rsid w:val="00970D11"/>
    <w:rsid w:val="00970E83"/>
    <w:rsid w:val="009712E9"/>
    <w:rsid w:val="00971373"/>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02E"/>
    <w:rsid w:val="00982307"/>
    <w:rsid w:val="009824F1"/>
    <w:rsid w:val="0098286F"/>
    <w:rsid w:val="00982ECC"/>
    <w:rsid w:val="009835A1"/>
    <w:rsid w:val="0098440B"/>
    <w:rsid w:val="00984C8C"/>
    <w:rsid w:val="009855AD"/>
    <w:rsid w:val="00985941"/>
    <w:rsid w:val="00985B1E"/>
    <w:rsid w:val="00985F05"/>
    <w:rsid w:val="00986523"/>
    <w:rsid w:val="00987019"/>
    <w:rsid w:val="009870C7"/>
    <w:rsid w:val="00987252"/>
    <w:rsid w:val="00987341"/>
    <w:rsid w:val="009873F3"/>
    <w:rsid w:val="0098793F"/>
    <w:rsid w:val="00987D9B"/>
    <w:rsid w:val="00987EC4"/>
    <w:rsid w:val="00990088"/>
    <w:rsid w:val="009906B5"/>
    <w:rsid w:val="00990AA9"/>
    <w:rsid w:val="00991060"/>
    <w:rsid w:val="009912F4"/>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1A0"/>
    <w:rsid w:val="009A1613"/>
    <w:rsid w:val="009A1CC9"/>
    <w:rsid w:val="009A1DA8"/>
    <w:rsid w:val="009A1FFD"/>
    <w:rsid w:val="009A208E"/>
    <w:rsid w:val="009A2287"/>
    <w:rsid w:val="009A247A"/>
    <w:rsid w:val="009A2C66"/>
    <w:rsid w:val="009A2E60"/>
    <w:rsid w:val="009A31EE"/>
    <w:rsid w:val="009A347A"/>
    <w:rsid w:val="009A365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089"/>
    <w:rsid w:val="009B73FB"/>
    <w:rsid w:val="009B7568"/>
    <w:rsid w:val="009B756E"/>
    <w:rsid w:val="009B76C2"/>
    <w:rsid w:val="009B775E"/>
    <w:rsid w:val="009C02D5"/>
    <w:rsid w:val="009C0BE8"/>
    <w:rsid w:val="009C1550"/>
    <w:rsid w:val="009C1DEC"/>
    <w:rsid w:val="009C25F0"/>
    <w:rsid w:val="009C32A9"/>
    <w:rsid w:val="009C3696"/>
    <w:rsid w:val="009C37C6"/>
    <w:rsid w:val="009C439F"/>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DAA"/>
    <w:rsid w:val="009D6EFF"/>
    <w:rsid w:val="009E0A1E"/>
    <w:rsid w:val="009E0C3B"/>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90E"/>
    <w:rsid w:val="009F4A5F"/>
    <w:rsid w:val="009F52C4"/>
    <w:rsid w:val="009F661E"/>
    <w:rsid w:val="00A00275"/>
    <w:rsid w:val="00A003E7"/>
    <w:rsid w:val="00A0059D"/>
    <w:rsid w:val="00A00B10"/>
    <w:rsid w:val="00A013B5"/>
    <w:rsid w:val="00A01563"/>
    <w:rsid w:val="00A0156D"/>
    <w:rsid w:val="00A01631"/>
    <w:rsid w:val="00A01849"/>
    <w:rsid w:val="00A0232A"/>
    <w:rsid w:val="00A025A3"/>
    <w:rsid w:val="00A02A2A"/>
    <w:rsid w:val="00A0325E"/>
    <w:rsid w:val="00A03927"/>
    <w:rsid w:val="00A03B8A"/>
    <w:rsid w:val="00A03BF3"/>
    <w:rsid w:val="00A04116"/>
    <w:rsid w:val="00A04189"/>
    <w:rsid w:val="00A04EF7"/>
    <w:rsid w:val="00A04FE0"/>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17E65"/>
    <w:rsid w:val="00A201E3"/>
    <w:rsid w:val="00A209EA"/>
    <w:rsid w:val="00A20D39"/>
    <w:rsid w:val="00A20EA0"/>
    <w:rsid w:val="00A21065"/>
    <w:rsid w:val="00A21BF2"/>
    <w:rsid w:val="00A21CEA"/>
    <w:rsid w:val="00A2213D"/>
    <w:rsid w:val="00A223D8"/>
    <w:rsid w:val="00A2258A"/>
    <w:rsid w:val="00A228D9"/>
    <w:rsid w:val="00A22D20"/>
    <w:rsid w:val="00A22E47"/>
    <w:rsid w:val="00A23800"/>
    <w:rsid w:val="00A23ABD"/>
    <w:rsid w:val="00A23AE1"/>
    <w:rsid w:val="00A23BAE"/>
    <w:rsid w:val="00A23CA4"/>
    <w:rsid w:val="00A2406F"/>
    <w:rsid w:val="00A24811"/>
    <w:rsid w:val="00A248DB"/>
    <w:rsid w:val="00A24976"/>
    <w:rsid w:val="00A24BE1"/>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108"/>
    <w:rsid w:val="00A32635"/>
    <w:rsid w:val="00A3267A"/>
    <w:rsid w:val="00A330D6"/>
    <w:rsid w:val="00A33141"/>
    <w:rsid w:val="00A33232"/>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8BA"/>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0F5"/>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879"/>
    <w:rsid w:val="00A60AE3"/>
    <w:rsid w:val="00A60B3B"/>
    <w:rsid w:val="00A60C07"/>
    <w:rsid w:val="00A6131D"/>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4BCA"/>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449"/>
    <w:rsid w:val="00A73602"/>
    <w:rsid w:val="00A73677"/>
    <w:rsid w:val="00A73CDF"/>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1FDF"/>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74E"/>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02"/>
    <w:rsid w:val="00AA6D7F"/>
    <w:rsid w:val="00AA7DC6"/>
    <w:rsid w:val="00AB00E5"/>
    <w:rsid w:val="00AB014F"/>
    <w:rsid w:val="00AB01B6"/>
    <w:rsid w:val="00AB04B3"/>
    <w:rsid w:val="00AB04C0"/>
    <w:rsid w:val="00AB0626"/>
    <w:rsid w:val="00AB0976"/>
    <w:rsid w:val="00AB0E11"/>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797"/>
    <w:rsid w:val="00AC4A0F"/>
    <w:rsid w:val="00AC4C29"/>
    <w:rsid w:val="00AC4DD7"/>
    <w:rsid w:val="00AC50B3"/>
    <w:rsid w:val="00AC5168"/>
    <w:rsid w:val="00AC52E5"/>
    <w:rsid w:val="00AC54D1"/>
    <w:rsid w:val="00AC61A9"/>
    <w:rsid w:val="00AC645B"/>
    <w:rsid w:val="00AC64C5"/>
    <w:rsid w:val="00AC66A0"/>
    <w:rsid w:val="00AC692A"/>
    <w:rsid w:val="00AC6DEA"/>
    <w:rsid w:val="00AC7028"/>
    <w:rsid w:val="00AC7162"/>
    <w:rsid w:val="00AC799D"/>
    <w:rsid w:val="00AD03C3"/>
    <w:rsid w:val="00AD04D6"/>
    <w:rsid w:val="00AD14FD"/>
    <w:rsid w:val="00AD19CA"/>
    <w:rsid w:val="00AD19EC"/>
    <w:rsid w:val="00AD2538"/>
    <w:rsid w:val="00AD259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893"/>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986"/>
    <w:rsid w:val="00B07BB4"/>
    <w:rsid w:val="00B07CF0"/>
    <w:rsid w:val="00B07F08"/>
    <w:rsid w:val="00B10142"/>
    <w:rsid w:val="00B1056D"/>
    <w:rsid w:val="00B108EF"/>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E90"/>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108"/>
    <w:rsid w:val="00B30639"/>
    <w:rsid w:val="00B311DB"/>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D2"/>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0B1"/>
    <w:rsid w:val="00B502FF"/>
    <w:rsid w:val="00B50527"/>
    <w:rsid w:val="00B50849"/>
    <w:rsid w:val="00B50AD7"/>
    <w:rsid w:val="00B50F5B"/>
    <w:rsid w:val="00B511B4"/>
    <w:rsid w:val="00B511EA"/>
    <w:rsid w:val="00B5147C"/>
    <w:rsid w:val="00B5201F"/>
    <w:rsid w:val="00B520B8"/>
    <w:rsid w:val="00B5236F"/>
    <w:rsid w:val="00B527D7"/>
    <w:rsid w:val="00B5333A"/>
    <w:rsid w:val="00B53DAE"/>
    <w:rsid w:val="00B53E52"/>
    <w:rsid w:val="00B53E58"/>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3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A83"/>
    <w:rsid w:val="00B80D6A"/>
    <w:rsid w:val="00B81840"/>
    <w:rsid w:val="00B8186E"/>
    <w:rsid w:val="00B81B30"/>
    <w:rsid w:val="00B81C10"/>
    <w:rsid w:val="00B81E6B"/>
    <w:rsid w:val="00B8237B"/>
    <w:rsid w:val="00B8292E"/>
    <w:rsid w:val="00B82F1D"/>
    <w:rsid w:val="00B8337D"/>
    <w:rsid w:val="00B8360E"/>
    <w:rsid w:val="00B83830"/>
    <w:rsid w:val="00B83C05"/>
    <w:rsid w:val="00B83F13"/>
    <w:rsid w:val="00B83F3E"/>
    <w:rsid w:val="00B83FEE"/>
    <w:rsid w:val="00B8464B"/>
    <w:rsid w:val="00B84863"/>
    <w:rsid w:val="00B848A7"/>
    <w:rsid w:val="00B854B8"/>
    <w:rsid w:val="00B85A6A"/>
    <w:rsid w:val="00B85BF1"/>
    <w:rsid w:val="00B85CA5"/>
    <w:rsid w:val="00B862E4"/>
    <w:rsid w:val="00B8630E"/>
    <w:rsid w:val="00B8657E"/>
    <w:rsid w:val="00B86EFB"/>
    <w:rsid w:val="00B8702A"/>
    <w:rsid w:val="00B873E1"/>
    <w:rsid w:val="00B875DC"/>
    <w:rsid w:val="00B875F5"/>
    <w:rsid w:val="00B8773A"/>
    <w:rsid w:val="00B87925"/>
    <w:rsid w:val="00B90C95"/>
    <w:rsid w:val="00B919E9"/>
    <w:rsid w:val="00B92839"/>
    <w:rsid w:val="00B92FE6"/>
    <w:rsid w:val="00B93107"/>
    <w:rsid w:val="00B93156"/>
    <w:rsid w:val="00B931D4"/>
    <w:rsid w:val="00B93599"/>
    <w:rsid w:val="00B93807"/>
    <w:rsid w:val="00B939C1"/>
    <w:rsid w:val="00B939CA"/>
    <w:rsid w:val="00B94767"/>
    <w:rsid w:val="00B9492F"/>
    <w:rsid w:val="00B94A1F"/>
    <w:rsid w:val="00B94ACC"/>
    <w:rsid w:val="00B951ED"/>
    <w:rsid w:val="00B95A44"/>
    <w:rsid w:val="00B95AF6"/>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E38"/>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983"/>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5C79"/>
    <w:rsid w:val="00BC60E3"/>
    <w:rsid w:val="00BC61BF"/>
    <w:rsid w:val="00BC64A5"/>
    <w:rsid w:val="00BC6CC1"/>
    <w:rsid w:val="00BC6EB8"/>
    <w:rsid w:val="00BC7438"/>
    <w:rsid w:val="00BC7519"/>
    <w:rsid w:val="00BC7A50"/>
    <w:rsid w:val="00BC7A8C"/>
    <w:rsid w:val="00BC7D09"/>
    <w:rsid w:val="00BC7F2D"/>
    <w:rsid w:val="00BD15A6"/>
    <w:rsid w:val="00BD2CDA"/>
    <w:rsid w:val="00BD312D"/>
    <w:rsid w:val="00BD3402"/>
    <w:rsid w:val="00BD36C7"/>
    <w:rsid w:val="00BD376B"/>
    <w:rsid w:val="00BD3918"/>
    <w:rsid w:val="00BD3D9F"/>
    <w:rsid w:val="00BD3DF4"/>
    <w:rsid w:val="00BD42AD"/>
    <w:rsid w:val="00BD54F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3DBD"/>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674"/>
    <w:rsid w:val="00BF0C5D"/>
    <w:rsid w:val="00BF0D54"/>
    <w:rsid w:val="00BF110B"/>
    <w:rsid w:val="00BF13FE"/>
    <w:rsid w:val="00BF1460"/>
    <w:rsid w:val="00BF1C6F"/>
    <w:rsid w:val="00BF2154"/>
    <w:rsid w:val="00BF25AF"/>
    <w:rsid w:val="00BF28E6"/>
    <w:rsid w:val="00BF28F5"/>
    <w:rsid w:val="00BF2C01"/>
    <w:rsid w:val="00BF323E"/>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3DA"/>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05A"/>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370"/>
    <w:rsid w:val="00C22B6A"/>
    <w:rsid w:val="00C22BA3"/>
    <w:rsid w:val="00C22EBB"/>
    <w:rsid w:val="00C23096"/>
    <w:rsid w:val="00C2323F"/>
    <w:rsid w:val="00C2352F"/>
    <w:rsid w:val="00C24433"/>
    <w:rsid w:val="00C24BB2"/>
    <w:rsid w:val="00C24DAC"/>
    <w:rsid w:val="00C2524A"/>
    <w:rsid w:val="00C25295"/>
    <w:rsid w:val="00C2532A"/>
    <w:rsid w:val="00C2547D"/>
    <w:rsid w:val="00C259E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6E8"/>
    <w:rsid w:val="00C32734"/>
    <w:rsid w:val="00C32F1E"/>
    <w:rsid w:val="00C332B3"/>
    <w:rsid w:val="00C3387F"/>
    <w:rsid w:val="00C34677"/>
    <w:rsid w:val="00C34739"/>
    <w:rsid w:val="00C35373"/>
    <w:rsid w:val="00C358AD"/>
    <w:rsid w:val="00C36067"/>
    <w:rsid w:val="00C36FB5"/>
    <w:rsid w:val="00C37290"/>
    <w:rsid w:val="00C3744B"/>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43F"/>
    <w:rsid w:val="00C45520"/>
    <w:rsid w:val="00C457C3"/>
    <w:rsid w:val="00C45A4F"/>
    <w:rsid w:val="00C45CFE"/>
    <w:rsid w:val="00C45EE1"/>
    <w:rsid w:val="00C45F5A"/>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42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326"/>
    <w:rsid w:val="00C628C5"/>
    <w:rsid w:val="00C62907"/>
    <w:rsid w:val="00C62EE6"/>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2A8"/>
    <w:rsid w:val="00C869A5"/>
    <w:rsid w:val="00C86CF4"/>
    <w:rsid w:val="00C878D7"/>
    <w:rsid w:val="00C87BF6"/>
    <w:rsid w:val="00C90029"/>
    <w:rsid w:val="00C90FD1"/>
    <w:rsid w:val="00C91014"/>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1B6"/>
    <w:rsid w:val="00C97415"/>
    <w:rsid w:val="00C9754E"/>
    <w:rsid w:val="00C97715"/>
    <w:rsid w:val="00C97D0E"/>
    <w:rsid w:val="00CA0455"/>
    <w:rsid w:val="00CA0790"/>
    <w:rsid w:val="00CA082F"/>
    <w:rsid w:val="00CA1338"/>
    <w:rsid w:val="00CA150D"/>
    <w:rsid w:val="00CA1864"/>
    <w:rsid w:val="00CA1C66"/>
    <w:rsid w:val="00CA1DAF"/>
    <w:rsid w:val="00CA1E1F"/>
    <w:rsid w:val="00CA1FC1"/>
    <w:rsid w:val="00CA2164"/>
    <w:rsid w:val="00CA255E"/>
    <w:rsid w:val="00CA2601"/>
    <w:rsid w:val="00CA2E0B"/>
    <w:rsid w:val="00CA3AB0"/>
    <w:rsid w:val="00CA3C87"/>
    <w:rsid w:val="00CA3E82"/>
    <w:rsid w:val="00CA4261"/>
    <w:rsid w:val="00CA494F"/>
    <w:rsid w:val="00CA4AA7"/>
    <w:rsid w:val="00CA5285"/>
    <w:rsid w:val="00CA52C2"/>
    <w:rsid w:val="00CA53E3"/>
    <w:rsid w:val="00CA5C4A"/>
    <w:rsid w:val="00CA67A2"/>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918"/>
    <w:rsid w:val="00CB3C09"/>
    <w:rsid w:val="00CB3E7B"/>
    <w:rsid w:val="00CB3F34"/>
    <w:rsid w:val="00CB40CE"/>
    <w:rsid w:val="00CB4225"/>
    <w:rsid w:val="00CB4A10"/>
    <w:rsid w:val="00CB4C91"/>
    <w:rsid w:val="00CB4F1F"/>
    <w:rsid w:val="00CB6893"/>
    <w:rsid w:val="00CB6DB4"/>
    <w:rsid w:val="00CB6F15"/>
    <w:rsid w:val="00CB7FCE"/>
    <w:rsid w:val="00CC0782"/>
    <w:rsid w:val="00CC1503"/>
    <w:rsid w:val="00CC2333"/>
    <w:rsid w:val="00CC2480"/>
    <w:rsid w:val="00CC2766"/>
    <w:rsid w:val="00CC279F"/>
    <w:rsid w:val="00CC285A"/>
    <w:rsid w:val="00CC2CA1"/>
    <w:rsid w:val="00CC2D0C"/>
    <w:rsid w:val="00CC389E"/>
    <w:rsid w:val="00CC39AD"/>
    <w:rsid w:val="00CC3D90"/>
    <w:rsid w:val="00CC42BD"/>
    <w:rsid w:val="00CC4529"/>
    <w:rsid w:val="00CC65B1"/>
    <w:rsid w:val="00CC6A77"/>
    <w:rsid w:val="00CC7159"/>
    <w:rsid w:val="00CC7297"/>
    <w:rsid w:val="00CC735B"/>
    <w:rsid w:val="00CC75FB"/>
    <w:rsid w:val="00CC7B61"/>
    <w:rsid w:val="00CC7E6F"/>
    <w:rsid w:val="00CD050B"/>
    <w:rsid w:val="00CD06E7"/>
    <w:rsid w:val="00CD1413"/>
    <w:rsid w:val="00CD19F9"/>
    <w:rsid w:val="00CD1A8A"/>
    <w:rsid w:val="00CD1B6C"/>
    <w:rsid w:val="00CD1C0F"/>
    <w:rsid w:val="00CD1EF0"/>
    <w:rsid w:val="00CD1FE6"/>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1D2"/>
    <w:rsid w:val="00CF231F"/>
    <w:rsid w:val="00CF292A"/>
    <w:rsid w:val="00CF2C14"/>
    <w:rsid w:val="00CF2C70"/>
    <w:rsid w:val="00CF2FAF"/>
    <w:rsid w:val="00CF3163"/>
    <w:rsid w:val="00CF32B0"/>
    <w:rsid w:val="00CF3FAB"/>
    <w:rsid w:val="00CF48D8"/>
    <w:rsid w:val="00CF4C20"/>
    <w:rsid w:val="00CF4CED"/>
    <w:rsid w:val="00CF5940"/>
    <w:rsid w:val="00CF5D06"/>
    <w:rsid w:val="00CF6118"/>
    <w:rsid w:val="00CF61A0"/>
    <w:rsid w:val="00CF6DC5"/>
    <w:rsid w:val="00CF6EF5"/>
    <w:rsid w:val="00CF7062"/>
    <w:rsid w:val="00CF7552"/>
    <w:rsid w:val="00CF76E3"/>
    <w:rsid w:val="00CF7B71"/>
    <w:rsid w:val="00CF7FD6"/>
    <w:rsid w:val="00D00125"/>
    <w:rsid w:val="00D001A9"/>
    <w:rsid w:val="00D0131A"/>
    <w:rsid w:val="00D01487"/>
    <w:rsid w:val="00D0241B"/>
    <w:rsid w:val="00D026E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B70"/>
    <w:rsid w:val="00D104FF"/>
    <w:rsid w:val="00D107A3"/>
    <w:rsid w:val="00D108AD"/>
    <w:rsid w:val="00D10ACD"/>
    <w:rsid w:val="00D10C6A"/>
    <w:rsid w:val="00D11037"/>
    <w:rsid w:val="00D115CF"/>
    <w:rsid w:val="00D116F3"/>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0A61"/>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6FC6"/>
    <w:rsid w:val="00D47088"/>
    <w:rsid w:val="00D471BC"/>
    <w:rsid w:val="00D4754B"/>
    <w:rsid w:val="00D501DC"/>
    <w:rsid w:val="00D505AA"/>
    <w:rsid w:val="00D50B9D"/>
    <w:rsid w:val="00D50D82"/>
    <w:rsid w:val="00D50E3B"/>
    <w:rsid w:val="00D50F80"/>
    <w:rsid w:val="00D516FC"/>
    <w:rsid w:val="00D51719"/>
    <w:rsid w:val="00D51F58"/>
    <w:rsid w:val="00D520FC"/>
    <w:rsid w:val="00D5235E"/>
    <w:rsid w:val="00D5316A"/>
    <w:rsid w:val="00D5340F"/>
    <w:rsid w:val="00D53475"/>
    <w:rsid w:val="00D53832"/>
    <w:rsid w:val="00D53C6B"/>
    <w:rsid w:val="00D53F4F"/>
    <w:rsid w:val="00D541B2"/>
    <w:rsid w:val="00D5465E"/>
    <w:rsid w:val="00D54941"/>
    <w:rsid w:val="00D549BA"/>
    <w:rsid w:val="00D54B18"/>
    <w:rsid w:val="00D557DA"/>
    <w:rsid w:val="00D559AE"/>
    <w:rsid w:val="00D55BE9"/>
    <w:rsid w:val="00D55C1E"/>
    <w:rsid w:val="00D55D71"/>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5589"/>
    <w:rsid w:val="00D66D62"/>
    <w:rsid w:val="00D676AC"/>
    <w:rsid w:val="00D67995"/>
    <w:rsid w:val="00D70610"/>
    <w:rsid w:val="00D70F95"/>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982"/>
    <w:rsid w:val="00D82AE1"/>
    <w:rsid w:val="00D83272"/>
    <w:rsid w:val="00D84A9F"/>
    <w:rsid w:val="00D85EA4"/>
    <w:rsid w:val="00D86237"/>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997"/>
    <w:rsid w:val="00DA0F4D"/>
    <w:rsid w:val="00DA1188"/>
    <w:rsid w:val="00DA14EE"/>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253"/>
    <w:rsid w:val="00DB79C7"/>
    <w:rsid w:val="00DB7AC8"/>
    <w:rsid w:val="00DB7F7F"/>
    <w:rsid w:val="00DC010A"/>
    <w:rsid w:val="00DC031A"/>
    <w:rsid w:val="00DC0D79"/>
    <w:rsid w:val="00DC0D96"/>
    <w:rsid w:val="00DC13F2"/>
    <w:rsid w:val="00DC1465"/>
    <w:rsid w:val="00DC159E"/>
    <w:rsid w:val="00DC17D5"/>
    <w:rsid w:val="00DC18E5"/>
    <w:rsid w:val="00DC1938"/>
    <w:rsid w:val="00DC1C12"/>
    <w:rsid w:val="00DC235F"/>
    <w:rsid w:val="00DC246B"/>
    <w:rsid w:val="00DC2876"/>
    <w:rsid w:val="00DC2B26"/>
    <w:rsid w:val="00DC2C98"/>
    <w:rsid w:val="00DC2DE0"/>
    <w:rsid w:val="00DC2F97"/>
    <w:rsid w:val="00DC3160"/>
    <w:rsid w:val="00DC32B2"/>
    <w:rsid w:val="00DC3591"/>
    <w:rsid w:val="00DC3B12"/>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1C18"/>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022"/>
    <w:rsid w:val="00DE17B1"/>
    <w:rsid w:val="00DE1A74"/>
    <w:rsid w:val="00DE25DD"/>
    <w:rsid w:val="00DE27F6"/>
    <w:rsid w:val="00DE2811"/>
    <w:rsid w:val="00DE2976"/>
    <w:rsid w:val="00DE351D"/>
    <w:rsid w:val="00DE3769"/>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EF8"/>
    <w:rsid w:val="00DF7FF3"/>
    <w:rsid w:val="00E0143E"/>
    <w:rsid w:val="00E01842"/>
    <w:rsid w:val="00E01BA1"/>
    <w:rsid w:val="00E0282E"/>
    <w:rsid w:val="00E03073"/>
    <w:rsid w:val="00E03146"/>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8E9"/>
    <w:rsid w:val="00E14C9C"/>
    <w:rsid w:val="00E14D5D"/>
    <w:rsid w:val="00E15BDD"/>
    <w:rsid w:val="00E164E4"/>
    <w:rsid w:val="00E16567"/>
    <w:rsid w:val="00E167B9"/>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8"/>
    <w:rsid w:val="00E26749"/>
    <w:rsid w:val="00E26C60"/>
    <w:rsid w:val="00E273D6"/>
    <w:rsid w:val="00E276FA"/>
    <w:rsid w:val="00E27C67"/>
    <w:rsid w:val="00E3114F"/>
    <w:rsid w:val="00E3121C"/>
    <w:rsid w:val="00E31C87"/>
    <w:rsid w:val="00E3221E"/>
    <w:rsid w:val="00E3297C"/>
    <w:rsid w:val="00E32A5E"/>
    <w:rsid w:val="00E32D8E"/>
    <w:rsid w:val="00E332E7"/>
    <w:rsid w:val="00E344F0"/>
    <w:rsid w:val="00E359BB"/>
    <w:rsid w:val="00E359C0"/>
    <w:rsid w:val="00E35AD4"/>
    <w:rsid w:val="00E36BF5"/>
    <w:rsid w:val="00E36D9D"/>
    <w:rsid w:val="00E371DC"/>
    <w:rsid w:val="00E37688"/>
    <w:rsid w:val="00E376FD"/>
    <w:rsid w:val="00E37767"/>
    <w:rsid w:val="00E37955"/>
    <w:rsid w:val="00E411A7"/>
    <w:rsid w:val="00E41A6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2E"/>
    <w:rsid w:val="00E5127E"/>
    <w:rsid w:val="00E5142F"/>
    <w:rsid w:val="00E523FF"/>
    <w:rsid w:val="00E52526"/>
    <w:rsid w:val="00E5285E"/>
    <w:rsid w:val="00E52BB2"/>
    <w:rsid w:val="00E52CFA"/>
    <w:rsid w:val="00E53031"/>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5E39"/>
    <w:rsid w:val="00E663D6"/>
    <w:rsid w:val="00E66463"/>
    <w:rsid w:val="00E66A21"/>
    <w:rsid w:val="00E66B8B"/>
    <w:rsid w:val="00E67449"/>
    <w:rsid w:val="00E67A7D"/>
    <w:rsid w:val="00E70729"/>
    <w:rsid w:val="00E70EA7"/>
    <w:rsid w:val="00E7132A"/>
    <w:rsid w:val="00E71394"/>
    <w:rsid w:val="00E714FB"/>
    <w:rsid w:val="00E716B3"/>
    <w:rsid w:val="00E7173C"/>
    <w:rsid w:val="00E7190D"/>
    <w:rsid w:val="00E71D91"/>
    <w:rsid w:val="00E71F07"/>
    <w:rsid w:val="00E72417"/>
    <w:rsid w:val="00E72715"/>
    <w:rsid w:val="00E7354B"/>
    <w:rsid w:val="00E73B8F"/>
    <w:rsid w:val="00E73D0B"/>
    <w:rsid w:val="00E73D76"/>
    <w:rsid w:val="00E740A0"/>
    <w:rsid w:val="00E74521"/>
    <w:rsid w:val="00E74705"/>
    <w:rsid w:val="00E74E1F"/>
    <w:rsid w:val="00E74E47"/>
    <w:rsid w:val="00E75321"/>
    <w:rsid w:val="00E755C8"/>
    <w:rsid w:val="00E75695"/>
    <w:rsid w:val="00E75CA1"/>
    <w:rsid w:val="00E761F1"/>
    <w:rsid w:val="00E763DC"/>
    <w:rsid w:val="00E764C0"/>
    <w:rsid w:val="00E7702D"/>
    <w:rsid w:val="00E773E6"/>
    <w:rsid w:val="00E77FA3"/>
    <w:rsid w:val="00E800F4"/>
    <w:rsid w:val="00E80123"/>
    <w:rsid w:val="00E808C2"/>
    <w:rsid w:val="00E80D5E"/>
    <w:rsid w:val="00E80E04"/>
    <w:rsid w:val="00E80F9C"/>
    <w:rsid w:val="00E81201"/>
    <w:rsid w:val="00E81914"/>
    <w:rsid w:val="00E81956"/>
    <w:rsid w:val="00E81C4C"/>
    <w:rsid w:val="00E82752"/>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B25"/>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A9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701"/>
    <w:rsid w:val="00EA7B12"/>
    <w:rsid w:val="00EA7B40"/>
    <w:rsid w:val="00EB0079"/>
    <w:rsid w:val="00EB0A39"/>
    <w:rsid w:val="00EB0BE1"/>
    <w:rsid w:val="00EB0C59"/>
    <w:rsid w:val="00EB1A24"/>
    <w:rsid w:val="00EB1ADA"/>
    <w:rsid w:val="00EB1B4A"/>
    <w:rsid w:val="00EB3022"/>
    <w:rsid w:val="00EB304A"/>
    <w:rsid w:val="00EB323A"/>
    <w:rsid w:val="00EB357B"/>
    <w:rsid w:val="00EB37F2"/>
    <w:rsid w:val="00EB4152"/>
    <w:rsid w:val="00EB486A"/>
    <w:rsid w:val="00EB4DEE"/>
    <w:rsid w:val="00EB4F4E"/>
    <w:rsid w:val="00EB5351"/>
    <w:rsid w:val="00EB5356"/>
    <w:rsid w:val="00EB5FC4"/>
    <w:rsid w:val="00EB69A7"/>
    <w:rsid w:val="00EB7A3A"/>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74"/>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6B4"/>
    <w:rsid w:val="00EE0A03"/>
    <w:rsid w:val="00EE1319"/>
    <w:rsid w:val="00EE1571"/>
    <w:rsid w:val="00EE1BA0"/>
    <w:rsid w:val="00EE23D9"/>
    <w:rsid w:val="00EE24C5"/>
    <w:rsid w:val="00EE25B5"/>
    <w:rsid w:val="00EE2BCE"/>
    <w:rsid w:val="00EE312B"/>
    <w:rsid w:val="00EE33CE"/>
    <w:rsid w:val="00EE3796"/>
    <w:rsid w:val="00EE3DF7"/>
    <w:rsid w:val="00EE4305"/>
    <w:rsid w:val="00EE4BB1"/>
    <w:rsid w:val="00EE5037"/>
    <w:rsid w:val="00EE50D4"/>
    <w:rsid w:val="00EE5132"/>
    <w:rsid w:val="00EE5CCB"/>
    <w:rsid w:val="00EE5DC2"/>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4C59"/>
    <w:rsid w:val="00F05329"/>
    <w:rsid w:val="00F0554F"/>
    <w:rsid w:val="00F05C0C"/>
    <w:rsid w:val="00F06BC0"/>
    <w:rsid w:val="00F06EDD"/>
    <w:rsid w:val="00F06FD2"/>
    <w:rsid w:val="00F076B7"/>
    <w:rsid w:val="00F07957"/>
    <w:rsid w:val="00F100A7"/>
    <w:rsid w:val="00F1017D"/>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2BAD"/>
    <w:rsid w:val="00F231F9"/>
    <w:rsid w:val="00F23218"/>
    <w:rsid w:val="00F232AA"/>
    <w:rsid w:val="00F235AB"/>
    <w:rsid w:val="00F23C25"/>
    <w:rsid w:val="00F23CD8"/>
    <w:rsid w:val="00F2411F"/>
    <w:rsid w:val="00F24281"/>
    <w:rsid w:val="00F2472F"/>
    <w:rsid w:val="00F24F7D"/>
    <w:rsid w:val="00F250BA"/>
    <w:rsid w:val="00F251E7"/>
    <w:rsid w:val="00F258B9"/>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25B"/>
    <w:rsid w:val="00F337D8"/>
    <w:rsid w:val="00F33B96"/>
    <w:rsid w:val="00F3427E"/>
    <w:rsid w:val="00F3430B"/>
    <w:rsid w:val="00F34F06"/>
    <w:rsid w:val="00F34F3B"/>
    <w:rsid w:val="00F35373"/>
    <w:rsid w:val="00F355C6"/>
    <w:rsid w:val="00F361FA"/>
    <w:rsid w:val="00F36210"/>
    <w:rsid w:val="00F3676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A84"/>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8B3"/>
    <w:rsid w:val="00F60AD6"/>
    <w:rsid w:val="00F61160"/>
    <w:rsid w:val="00F612B1"/>
    <w:rsid w:val="00F61373"/>
    <w:rsid w:val="00F61DCE"/>
    <w:rsid w:val="00F6225F"/>
    <w:rsid w:val="00F62CB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4DD3"/>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14"/>
    <w:rsid w:val="00F83F20"/>
    <w:rsid w:val="00F83F71"/>
    <w:rsid w:val="00F8417C"/>
    <w:rsid w:val="00F84350"/>
    <w:rsid w:val="00F84DD1"/>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478"/>
    <w:rsid w:val="00F9081B"/>
    <w:rsid w:val="00F90971"/>
    <w:rsid w:val="00F9099E"/>
    <w:rsid w:val="00F90B8B"/>
    <w:rsid w:val="00F91223"/>
    <w:rsid w:val="00F9124C"/>
    <w:rsid w:val="00F916D8"/>
    <w:rsid w:val="00F925CE"/>
    <w:rsid w:val="00F9296B"/>
    <w:rsid w:val="00F93711"/>
    <w:rsid w:val="00F94374"/>
    <w:rsid w:val="00F9474C"/>
    <w:rsid w:val="00F947BC"/>
    <w:rsid w:val="00F953A3"/>
    <w:rsid w:val="00F954CE"/>
    <w:rsid w:val="00F9567E"/>
    <w:rsid w:val="00F9623D"/>
    <w:rsid w:val="00F964D2"/>
    <w:rsid w:val="00F9665B"/>
    <w:rsid w:val="00F9733B"/>
    <w:rsid w:val="00F973A6"/>
    <w:rsid w:val="00F97470"/>
    <w:rsid w:val="00F97B48"/>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4B9A"/>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ADC"/>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2CD3"/>
    <w:rsid w:val="00FC346F"/>
    <w:rsid w:val="00FC3995"/>
    <w:rsid w:val="00FC3D27"/>
    <w:rsid w:val="00FC4A59"/>
    <w:rsid w:val="00FC6998"/>
    <w:rsid w:val="00FC6C70"/>
    <w:rsid w:val="00FC7421"/>
    <w:rsid w:val="00FD0435"/>
    <w:rsid w:val="00FD0550"/>
    <w:rsid w:val="00FD27BC"/>
    <w:rsid w:val="00FD27D8"/>
    <w:rsid w:val="00FD2897"/>
    <w:rsid w:val="00FD2CC5"/>
    <w:rsid w:val="00FD3127"/>
    <w:rsid w:val="00FD32EA"/>
    <w:rsid w:val="00FD37A3"/>
    <w:rsid w:val="00FD442E"/>
    <w:rsid w:val="00FD4450"/>
    <w:rsid w:val="00FD509A"/>
    <w:rsid w:val="00FD530B"/>
    <w:rsid w:val="00FD54DC"/>
    <w:rsid w:val="00FD564C"/>
    <w:rsid w:val="00FD56C3"/>
    <w:rsid w:val="00FD5B17"/>
    <w:rsid w:val="00FD5D1B"/>
    <w:rsid w:val="00FD6A12"/>
    <w:rsid w:val="00FD6A71"/>
    <w:rsid w:val="00FD7757"/>
    <w:rsid w:val="00FE0C0F"/>
    <w:rsid w:val="00FE0C1F"/>
    <w:rsid w:val="00FE185F"/>
    <w:rsid w:val="00FE1DD9"/>
    <w:rsid w:val="00FE206C"/>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5678"/>
    <w:rsid w:val="00FF62AD"/>
    <w:rsid w:val="00FF6C26"/>
    <w:rsid w:val="00FF6D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14B1"/>
  <w15:docId w15:val="{CAF635C5-E130-4A18-9169-31800B05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C246B"/>
    <w:pPr>
      <w:tabs>
        <w:tab w:val="right" w:leader="dot" w:pos="8830"/>
      </w:tabs>
      <w:suppressAutoHyphens w:val="0"/>
      <w:jc w:val="center"/>
    </w:pPr>
    <w:rPr>
      <w:rFonts w:eastAsia="Calibri"/>
      <w:color w:val="F5301B"/>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j">
    <w:name w:val="j"/>
    <w:basedOn w:val="Normal"/>
    <w:rsid w:val="00304D96"/>
    <w:pPr>
      <w:suppressAutoHyphens w:val="0"/>
      <w:spacing w:before="100" w:beforeAutospacing="1" w:after="100" w:afterAutospacing="1"/>
    </w:pPr>
    <w:rPr>
      <w:lang w:val="es-CR" w:eastAsia="es-CR"/>
    </w:rPr>
  </w:style>
  <w:style w:type="character" w:customStyle="1" w:styleId="nacep">
    <w:name w:val="n_acep"/>
    <w:basedOn w:val="Fuentedeprrafopredeter"/>
    <w:rsid w:val="00304D96"/>
  </w:style>
  <w:style w:type="character" w:customStyle="1" w:styleId="ilfuvd">
    <w:name w:val="ilfuvd"/>
    <w:basedOn w:val="Fuentedeprrafopredeter"/>
    <w:rsid w:val="00B53E58"/>
  </w:style>
  <w:style w:type="character" w:customStyle="1" w:styleId="kx21rb">
    <w:name w:val="kx21rb"/>
    <w:basedOn w:val="Fuentedeprrafopredeter"/>
    <w:rsid w:val="00B5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4101">
      <w:bodyDiv w:val="1"/>
      <w:marLeft w:val="0"/>
      <w:marRight w:val="0"/>
      <w:marTop w:val="0"/>
      <w:marBottom w:val="0"/>
      <w:divBdr>
        <w:top w:val="none" w:sz="0" w:space="0" w:color="auto"/>
        <w:left w:val="none" w:sz="0" w:space="0" w:color="auto"/>
        <w:bottom w:val="none" w:sz="0" w:space="0" w:color="auto"/>
        <w:right w:val="none" w:sz="0" w:space="0" w:color="auto"/>
      </w:divBdr>
      <w:divsChild>
        <w:div w:id="1374575173">
          <w:marLeft w:val="0"/>
          <w:marRight w:val="0"/>
          <w:marTop w:val="0"/>
          <w:marBottom w:val="0"/>
          <w:divBdr>
            <w:top w:val="none" w:sz="0" w:space="0" w:color="auto"/>
            <w:left w:val="none" w:sz="0" w:space="0" w:color="auto"/>
            <w:bottom w:val="none" w:sz="0" w:space="0" w:color="auto"/>
            <w:right w:val="none" w:sz="0" w:space="0" w:color="auto"/>
          </w:divBdr>
        </w:div>
        <w:div w:id="846939011">
          <w:marLeft w:val="0"/>
          <w:marRight w:val="0"/>
          <w:marTop w:val="0"/>
          <w:marBottom w:val="0"/>
          <w:divBdr>
            <w:top w:val="none" w:sz="0" w:space="0" w:color="auto"/>
            <w:left w:val="none" w:sz="0" w:space="0" w:color="auto"/>
            <w:bottom w:val="none" w:sz="0" w:space="0" w:color="auto"/>
            <w:right w:val="none" w:sz="0" w:space="0" w:color="auto"/>
          </w:divBdr>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3070941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22908115">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47BA-5AD8-4866-9CE4-0938BED8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10171</Words>
  <Characters>55943</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65983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2</cp:revision>
  <cp:lastPrinted>2019-02-21T15:28:00Z</cp:lastPrinted>
  <dcterms:created xsi:type="dcterms:W3CDTF">2019-03-19T21:56:00Z</dcterms:created>
  <dcterms:modified xsi:type="dcterms:W3CDTF">2019-03-19T21:56:00Z</dcterms:modified>
</cp:coreProperties>
</file>