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811B" w14:textId="6BF9223B" w:rsidR="00D02047" w:rsidRPr="00E554BC" w:rsidRDefault="00E554BC" w:rsidP="00E554BC">
      <w:pPr>
        <w:pStyle w:val="Ttulo1"/>
        <w:spacing w:before="960" w:after="600"/>
        <w:jc w:val="center"/>
        <w:rPr>
          <w:rFonts w:ascii="HendersonSansW00-BasicSmBd" w:eastAsia="Segoe UI" w:hAnsi="HendersonSansW00-BasicSmBd"/>
          <w:color w:val="auto"/>
        </w:rPr>
      </w:pPr>
      <w:r w:rsidRPr="00E554BC">
        <w:rPr>
          <w:rFonts w:ascii="HendersonSansW00-BasicSmBd" w:hAnsi="HendersonSansW00-BasicSmBd"/>
          <w:noProof/>
          <w:color w:val="auto"/>
        </w:rPr>
        <w:drawing>
          <wp:anchor distT="0" distB="0" distL="114300" distR="114300" simplePos="0" relativeHeight="251658240" behindDoc="1" locked="0" layoutInCell="1" allowOverlap="1" wp14:anchorId="6E6BD91B" wp14:editId="4FA32F63">
            <wp:simplePos x="0" y="0"/>
            <wp:positionH relativeFrom="page">
              <wp:align>left</wp:align>
            </wp:positionH>
            <wp:positionV relativeFrom="page">
              <wp:align>top</wp:align>
            </wp:positionV>
            <wp:extent cx="7565390" cy="1676400"/>
            <wp:effectExtent l="0" t="0" r="0" b="0"/>
            <wp:wrapNone/>
            <wp:docPr id="1876175718"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75718" name="Imagen 1">
                      <a:extLs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65390" cy="1676400"/>
                    </a:xfrm>
                    <a:prstGeom prst="rect">
                      <a:avLst/>
                    </a:prstGeom>
                  </pic:spPr>
                </pic:pic>
              </a:graphicData>
            </a:graphic>
            <wp14:sizeRelH relativeFrom="margin">
              <wp14:pctWidth>0</wp14:pctWidth>
            </wp14:sizeRelH>
            <wp14:sizeRelV relativeFrom="margin">
              <wp14:pctHeight>0</wp14:pctHeight>
            </wp14:sizeRelV>
          </wp:anchor>
        </w:drawing>
      </w:r>
      <w:r w:rsidRPr="00E554BC">
        <w:rPr>
          <w:rFonts w:ascii="HendersonSansW00-BasicSmBd" w:eastAsia="Segoe UI" w:hAnsi="HendersonSansW00-BasicSmBd"/>
          <w:color w:val="auto"/>
        </w:rPr>
        <w:t>Color de texto accesible</w:t>
      </w:r>
    </w:p>
    <w:p w14:paraId="3AF94F89" w14:textId="77777777" w:rsidR="00E554BC" w:rsidRDefault="00E554BC" w:rsidP="00E554BC">
      <w:pPr>
        <w:spacing w:before="240" w:after="120" w:line="360" w:lineRule="auto"/>
        <w:rPr>
          <w:rFonts w:ascii="Century Gothic" w:eastAsia="Segoe UI" w:hAnsi="Century Gothic" w:cs="Segoe UI"/>
          <w:color w:val="605E5C"/>
          <w:sz w:val="24"/>
          <w:szCs w:val="24"/>
        </w:rPr>
      </w:pPr>
      <w:r w:rsidRPr="00E554BC">
        <w:rPr>
          <w:rFonts w:ascii="Century Gothic" w:eastAsia="Segoe UI" w:hAnsi="Century Gothic" w:cs="Segoe UI"/>
          <w:b/>
          <w:bCs/>
          <w:color w:val="605E5C"/>
          <w:sz w:val="24"/>
          <w:szCs w:val="24"/>
        </w:rPr>
        <w:t xml:space="preserve">Tiempo: </w:t>
      </w:r>
      <w:r w:rsidRPr="00E554BC">
        <w:rPr>
          <w:rFonts w:ascii="Century Gothic" w:eastAsia="Segoe UI" w:hAnsi="Century Gothic" w:cs="Segoe UI"/>
          <w:color w:val="605E5C"/>
          <w:sz w:val="24"/>
          <w:szCs w:val="24"/>
        </w:rPr>
        <w:t>0:00</w:t>
      </w:r>
    </w:p>
    <w:p w14:paraId="07E17251" w14:textId="496B7877" w:rsidR="00E554BC" w:rsidRPr="00E554BC" w:rsidRDefault="00E554BC" w:rsidP="00E554BC">
      <w:pPr>
        <w:spacing w:before="240" w:after="120" w:line="360" w:lineRule="auto"/>
        <w:rPr>
          <w:rFonts w:ascii="Century Gothic" w:eastAsia="Segoe UI" w:hAnsi="Century Gothic" w:cs="Segoe UI"/>
          <w:color w:val="605E5C"/>
          <w:sz w:val="24"/>
          <w:szCs w:val="24"/>
        </w:rPr>
      </w:pPr>
      <w:r w:rsidRPr="00E554BC">
        <w:rPr>
          <w:rFonts w:ascii="Century Gothic" w:eastAsia="Segoe UI" w:hAnsi="Century Gothic" w:cs="Segoe UI"/>
          <w:b/>
          <w:bCs/>
          <w:color w:val="605E5C"/>
          <w:sz w:val="24"/>
          <w:szCs w:val="24"/>
        </w:rPr>
        <w:t xml:space="preserve">Descripción: </w:t>
      </w:r>
      <w:r w:rsidRPr="00E554BC">
        <w:rPr>
          <w:rFonts w:ascii="Century Gothic" w:eastAsia="Segoe UI" w:hAnsi="Century Gothic" w:cs="Segoe UI"/>
          <w:color w:val="605E5C"/>
          <w:sz w:val="24"/>
          <w:szCs w:val="24"/>
        </w:rPr>
        <w:t xml:space="preserve">Video de audio y texto. </w:t>
      </w:r>
    </w:p>
    <w:p w14:paraId="2954EDBC" w14:textId="6EEB3DC1" w:rsidR="00D02047" w:rsidRPr="00E554BC" w:rsidRDefault="00E554BC" w:rsidP="00E554BC">
      <w:pPr>
        <w:spacing w:before="240" w:after="120" w:line="360" w:lineRule="auto"/>
        <w:rPr>
          <w:rFonts w:ascii="Century Gothic" w:hAnsi="Century Gothic"/>
          <w:sz w:val="24"/>
          <w:szCs w:val="24"/>
        </w:rPr>
      </w:pPr>
      <w:r w:rsidRPr="00E554BC">
        <w:rPr>
          <w:rFonts w:ascii="Century Gothic" w:eastAsia="Segoe UI" w:hAnsi="Century Gothic" w:cs="Segoe UI"/>
          <w:b/>
          <w:bCs/>
          <w:color w:val="605E5C"/>
          <w:sz w:val="24"/>
          <w:szCs w:val="24"/>
        </w:rPr>
        <w:t>Narración:</w:t>
      </w:r>
      <w:r w:rsidRPr="00E554BC">
        <w:rPr>
          <w:rFonts w:ascii="Century Gothic" w:eastAsia="Segoe UI" w:hAnsi="Century Gothic" w:cs="Segoe UI"/>
          <w:color w:val="605E5C"/>
          <w:sz w:val="24"/>
          <w:szCs w:val="24"/>
        </w:rPr>
        <w:t xml:space="preserve"> </w:t>
      </w:r>
      <w:r w:rsidRPr="00E554BC">
        <w:rPr>
          <w:rFonts w:ascii="Century Gothic" w:eastAsia="Segoe UI" w:hAnsi="Century Gothic" w:cs="Segoe UI"/>
          <w:color w:val="323130"/>
          <w:sz w:val="24"/>
          <w:szCs w:val="24"/>
        </w:rPr>
        <w:t>Accesibilidad digital: color de textos accesible. Para que los textos de un documento sean accesibles, un factor muy importante es el color. En primer lugar, debe haber suficiente contraste entre el color del texto y el fondo. Entre menos contraste, menos legible y accesible es el texto, pero además, se debe considerar que hay personas que tienen dificultad para percibir algunos colores o que del todo ven en escala de grises.</w:t>
      </w:r>
    </w:p>
    <w:p w14:paraId="1D1715DE" w14:textId="77777777" w:rsidR="00E554BC" w:rsidRDefault="00E554BC" w:rsidP="00E554BC">
      <w:pPr>
        <w:spacing w:before="240" w:after="120" w:line="360" w:lineRule="auto"/>
        <w:rPr>
          <w:rFonts w:ascii="Century Gothic" w:eastAsia="Segoe UI" w:hAnsi="Century Gothic" w:cs="Segoe UI"/>
          <w:color w:val="605E5C"/>
          <w:sz w:val="24"/>
          <w:szCs w:val="24"/>
        </w:rPr>
      </w:pPr>
      <w:r w:rsidRPr="00E554BC">
        <w:rPr>
          <w:rFonts w:ascii="Century Gothic" w:eastAsia="Segoe UI" w:hAnsi="Century Gothic" w:cs="Segoe UI"/>
          <w:b/>
          <w:bCs/>
          <w:color w:val="605E5C"/>
          <w:sz w:val="24"/>
          <w:szCs w:val="24"/>
        </w:rPr>
        <w:t xml:space="preserve">Tiempo: </w:t>
      </w:r>
      <w:r w:rsidRPr="00E554BC">
        <w:rPr>
          <w:rFonts w:ascii="Century Gothic" w:eastAsia="Segoe UI" w:hAnsi="Century Gothic" w:cs="Segoe UI"/>
          <w:color w:val="605E5C"/>
          <w:sz w:val="24"/>
          <w:szCs w:val="24"/>
        </w:rPr>
        <w:t>0:27</w:t>
      </w:r>
    </w:p>
    <w:p w14:paraId="3A3101C4" w14:textId="3A8861A7" w:rsidR="00D02047" w:rsidRPr="00E554BC" w:rsidRDefault="00E554BC" w:rsidP="00E554BC">
      <w:pPr>
        <w:spacing w:before="240" w:after="120" w:line="360" w:lineRule="auto"/>
        <w:rPr>
          <w:rFonts w:ascii="Century Gothic" w:hAnsi="Century Gothic"/>
          <w:sz w:val="24"/>
          <w:szCs w:val="24"/>
        </w:rPr>
      </w:pPr>
      <w:r w:rsidRPr="00E554BC">
        <w:rPr>
          <w:rFonts w:ascii="Century Gothic" w:eastAsia="Segoe UI" w:hAnsi="Century Gothic" w:cs="Segoe UI"/>
          <w:b/>
          <w:bCs/>
          <w:color w:val="605E5C"/>
          <w:sz w:val="24"/>
          <w:szCs w:val="24"/>
        </w:rPr>
        <w:t>Narración:</w:t>
      </w:r>
      <w:r w:rsidRPr="00E554BC">
        <w:rPr>
          <w:rFonts w:ascii="Century Gothic" w:eastAsia="Segoe UI" w:hAnsi="Century Gothic" w:cs="Segoe UI"/>
          <w:color w:val="605E5C"/>
          <w:sz w:val="24"/>
          <w:szCs w:val="24"/>
        </w:rPr>
        <w:t xml:space="preserve"> </w:t>
      </w:r>
      <w:r w:rsidRPr="00E554BC">
        <w:rPr>
          <w:rFonts w:ascii="Century Gothic" w:eastAsia="Segoe UI" w:hAnsi="Century Gothic" w:cs="Segoe UI"/>
          <w:color w:val="323130"/>
          <w:sz w:val="24"/>
          <w:szCs w:val="24"/>
        </w:rPr>
        <w:t>Así que hay que cuidar que la comprensión de la información no dependa de percibir el color. Por ejemplo, en la siguiente oración, el sujeto está señalado en color azul. Todo el Grupo participa en el festival de las artes. En el segundo ejemplo, la opción correcta se indica en color verde y las incorrectas en rojo. El siguiente triángulo es equilátero, escaleno, isósceles. Pero una persona que no percibe el color podría verla como se muestra a continuación.</w:t>
      </w:r>
    </w:p>
    <w:p w14:paraId="5BB38118" w14:textId="77777777" w:rsidR="00E554BC" w:rsidRDefault="00E554BC" w:rsidP="00E554BC">
      <w:pPr>
        <w:spacing w:before="240" w:after="120" w:line="360" w:lineRule="auto"/>
        <w:rPr>
          <w:rFonts w:ascii="Century Gothic" w:eastAsia="Segoe UI" w:hAnsi="Century Gothic" w:cs="Segoe UI"/>
          <w:color w:val="605E5C"/>
          <w:sz w:val="24"/>
          <w:szCs w:val="24"/>
        </w:rPr>
      </w:pPr>
      <w:r w:rsidRPr="00E554BC">
        <w:rPr>
          <w:rFonts w:ascii="Century Gothic" w:eastAsia="Segoe UI" w:hAnsi="Century Gothic" w:cs="Segoe UI"/>
          <w:b/>
          <w:bCs/>
          <w:color w:val="605E5C"/>
          <w:sz w:val="24"/>
          <w:szCs w:val="24"/>
        </w:rPr>
        <w:t xml:space="preserve">Tiempo: </w:t>
      </w:r>
      <w:r w:rsidRPr="00E554BC">
        <w:rPr>
          <w:rFonts w:ascii="Century Gothic" w:eastAsia="Segoe UI" w:hAnsi="Century Gothic" w:cs="Segoe UI"/>
          <w:color w:val="605E5C"/>
          <w:sz w:val="24"/>
          <w:szCs w:val="24"/>
        </w:rPr>
        <w:t>0:53</w:t>
      </w:r>
    </w:p>
    <w:p w14:paraId="3965F78C" w14:textId="1A87D7E7" w:rsidR="00E554BC" w:rsidRDefault="00E554BC" w:rsidP="00E554BC">
      <w:pPr>
        <w:spacing w:before="240" w:after="120" w:line="360" w:lineRule="auto"/>
        <w:rPr>
          <w:rFonts w:ascii="Century Gothic" w:eastAsia="Segoe UI" w:hAnsi="Century Gothic" w:cs="Segoe UI"/>
          <w:b/>
          <w:bCs/>
          <w:color w:val="605E5C"/>
          <w:sz w:val="24"/>
          <w:szCs w:val="24"/>
        </w:rPr>
      </w:pPr>
      <w:r w:rsidRPr="00E554BC">
        <w:rPr>
          <w:rFonts w:ascii="Century Gothic" w:eastAsia="Segoe UI" w:hAnsi="Century Gothic" w:cs="Segoe UI"/>
          <w:b/>
          <w:bCs/>
          <w:color w:val="605E5C"/>
          <w:sz w:val="24"/>
          <w:szCs w:val="24"/>
        </w:rPr>
        <w:t>Narración:</w:t>
      </w:r>
      <w:r w:rsidRPr="00E554BC">
        <w:rPr>
          <w:rFonts w:ascii="Century Gothic" w:eastAsia="Segoe UI" w:hAnsi="Century Gothic" w:cs="Segoe UI"/>
          <w:color w:val="605E5C"/>
          <w:sz w:val="24"/>
          <w:szCs w:val="24"/>
        </w:rPr>
        <w:t xml:space="preserve"> </w:t>
      </w:r>
      <w:r w:rsidRPr="00E554BC">
        <w:rPr>
          <w:rFonts w:ascii="Century Gothic" w:eastAsia="Segoe UI" w:hAnsi="Century Gothic" w:cs="Segoe UI"/>
          <w:color w:val="323130"/>
          <w:sz w:val="24"/>
          <w:szCs w:val="24"/>
        </w:rPr>
        <w:t>En el caso del ejemplo del sujeto de la oración señalado en color azul, una persona daltónica que percibe tonos de sepia podría ver todo el texto prácticamente del mismo color. En el caso de las opciones incorrectas en rojo y la correcta en verde, una persona que ve en escala de grises solamente captaría dos tonos de gris similares y no sab</w:t>
      </w:r>
      <w:r w:rsidR="00023FFB" w:rsidRPr="00E554BC">
        <w:rPr>
          <w:rFonts w:ascii="Century Gothic" w:eastAsia="Segoe UI" w:hAnsi="Century Gothic" w:cs="Segoe UI"/>
          <w:color w:val="323130"/>
          <w:sz w:val="24"/>
          <w:szCs w:val="24"/>
        </w:rPr>
        <w:t>r</w:t>
      </w:r>
      <w:r w:rsidRPr="00E554BC">
        <w:rPr>
          <w:rFonts w:ascii="Century Gothic" w:eastAsia="Segoe UI" w:hAnsi="Century Gothic" w:cs="Segoe UI"/>
          <w:color w:val="323130"/>
          <w:sz w:val="24"/>
          <w:szCs w:val="24"/>
        </w:rPr>
        <w:t>ía cuál es cuál.</w:t>
      </w:r>
    </w:p>
    <w:p w14:paraId="32FC09E2" w14:textId="0A13EC89" w:rsidR="00E554BC" w:rsidRDefault="00E554BC" w:rsidP="00E554BC">
      <w:pPr>
        <w:spacing w:before="240" w:after="120" w:line="360" w:lineRule="auto"/>
        <w:rPr>
          <w:rFonts w:ascii="Century Gothic" w:eastAsia="Segoe UI" w:hAnsi="Century Gothic" w:cs="Segoe UI"/>
          <w:color w:val="605E5C"/>
          <w:sz w:val="24"/>
          <w:szCs w:val="24"/>
        </w:rPr>
      </w:pPr>
      <w:r w:rsidRPr="00E554BC">
        <w:rPr>
          <w:rFonts w:ascii="Century Gothic" w:eastAsia="Segoe UI" w:hAnsi="Century Gothic" w:cs="Segoe UI"/>
          <w:b/>
          <w:bCs/>
          <w:color w:val="605E5C"/>
          <w:sz w:val="24"/>
          <w:szCs w:val="24"/>
        </w:rPr>
        <w:lastRenderedPageBreak/>
        <w:t xml:space="preserve">Tiempo: </w:t>
      </w:r>
      <w:r w:rsidRPr="00E554BC">
        <w:rPr>
          <w:rFonts w:ascii="Century Gothic" w:eastAsia="Segoe UI" w:hAnsi="Century Gothic" w:cs="Segoe UI"/>
          <w:color w:val="605E5C"/>
          <w:sz w:val="24"/>
          <w:szCs w:val="24"/>
        </w:rPr>
        <w:t>1:14</w:t>
      </w:r>
    </w:p>
    <w:p w14:paraId="58ADB137" w14:textId="1307F2D8" w:rsidR="00D02047" w:rsidRPr="00E554BC" w:rsidRDefault="00E554BC" w:rsidP="00E554BC">
      <w:pPr>
        <w:spacing w:before="240" w:after="120" w:line="360" w:lineRule="auto"/>
        <w:rPr>
          <w:rFonts w:ascii="Century Gothic" w:hAnsi="Century Gothic"/>
          <w:sz w:val="24"/>
          <w:szCs w:val="24"/>
        </w:rPr>
      </w:pPr>
      <w:r w:rsidRPr="00E554BC">
        <w:rPr>
          <w:rFonts w:ascii="Century Gothic" w:eastAsia="Segoe UI" w:hAnsi="Century Gothic" w:cs="Segoe UI"/>
          <w:b/>
          <w:bCs/>
          <w:color w:val="605E5C"/>
          <w:sz w:val="24"/>
          <w:szCs w:val="24"/>
        </w:rPr>
        <w:t>Narración:</w:t>
      </w:r>
      <w:r w:rsidRPr="00E554BC">
        <w:rPr>
          <w:rFonts w:ascii="Century Gothic" w:eastAsia="Segoe UI" w:hAnsi="Century Gothic" w:cs="Segoe UI"/>
          <w:color w:val="605E5C"/>
          <w:sz w:val="24"/>
          <w:szCs w:val="24"/>
        </w:rPr>
        <w:t xml:space="preserve"> </w:t>
      </w:r>
      <w:r w:rsidRPr="00E554BC">
        <w:rPr>
          <w:rFonts w:ascii="Century Gothic" w:eastAsia="Segoe UI" w:hAnsi="Century Gothic" w:cs="Segoe UI"/>
          <w:color w:val="323130"/>
          <w:sz w:val="24"/>
          <w:szCs w:val="24"/>
        </w:rPr>
        <w:t>Para que estos textos sean accesibles para todas las personas, la información que se resalta en color se debe reforzar con indicadores gráficos como colocar el texto entre comillas, asteriscos, paréntesis u otros signos. En el ejemplo de las opciones correctas e incorrectas se puede agregar un signo de verificación, un icono de pulgar hacia arriba o encerrar en un círculo.</w:t>
      </w:r>
    </w:p>
    <w:p w14:paraId="04C6AAB3" w14:textId="77777777" w:rsidR="00E554BC" w:rsidRDefault="00E554BC" w:rsidP="00E554BC">
      <w:pPr>
        <w:spacing w:before="240" w:after="120" w:line="360" w:lineRule="auto"/>
        <w:rPr>
          <w:rFonts w:ascii="Century Gothic" w:eastAsia="Segoe UI" w:hAnsi="Century Gothic" w:cs="Segoe UI"/>
          <w:color w:val="605E5C"/>
          <w:sz w:val="24"/>
          <w:szCs w:val="24"/>
        </w:rPr>
      </w:pPr>
      <w:r w:rsidRPr="00E554BC">
        <w:rPr>
          <w:rFonts w:ascii="Century Gothic" w:eastAsia="Segoe UI" w:hAnsi="Century Gothic" w:cs="Segoe UI"/>
          <w:b/>
          <w:bCs/>
          <w:color w:val="605E5C"/>
          <w:sz w:val="24"/>
          <w:szCs w:val="24"/>
        </w:rPr>
        <w:t xml:space="preserve">Tiempo: </w:t>
      </w:r>
      <w:r w:rsidRPr="00E554BC">
        <w:rPr>
          <w:rFonts w:ascii="Century Gothic" w:eastAsia="Segoe UI" w:hAnsi="Century Gothic" w:cs="Segoe UI"/>
          <w:color w:val="605E5C"/>
          <w:sz w:val="24"/>
          <w:szCs w:val="24"/>
        </w:rPr>
        <w:t>1:35</w:t>
      </w:r>
    </w:p>
    <w:p w14:paraId="1A745FCD" w14:textId="548F5697" w:rsidR="00D02047" w:rsidRPr="00E554BC" w:rsidRDefault="00E554BC" w:rsidP="00E554BC">
      <w:pPr>
        <w:spacing w:before="240" w:after="120" w:line="360" w:lineRule="auto"/>
        <w:rPr>
          <w:rFonts w:ascii="Century Gothic" w:hAnsi="Century Gothic"/>
          <w:sz w:val="24"/>
          <w:szCs w:val="24"/>
        </w:rPr>
      </w:pPr>
      <w:r w:rsidRPr="00E554BC">
        <w:rPr>
          <w:rFonts w:ascii="Century Gothic" w:eastAsia="Segoe UI" w:hAnsi="Century Gothic" w:cs="Segoe UI"/>
          <w:b/>
          <w:bCs/>
          <w:color w:val="605E5C"/>
          <w:sz w:val="24"/>
          <w:szCs w:val="24"/>
        </w:rPr>
        <w:t>Narración:</w:t>
      </w:r>
      <w:r w:rsidRPr="00E554BC">
        <w:rPr>
          <w:rFonts w:ascii="Century Gothic" w:eastAsia="Segoe UI" w:hAnsi="Century Gothic" w:cs="Segoe UI"/>
          <w:color w:val="605E5C"/>
          <w:sz w:val="24"/>
          <w:szCs w:val="24"/>
        </w:rPr>
        <w:t xml:space="preserve"> </w:t>
      </w:r>
      <w:r w:rsidRPr="00E554BC">
        <w:rPr>
          <w:rFonts w:ascii="Century Gothic" w:eastAsia="Segoe UI" w:hAnsi="Century Gothic" w:cs="Segoe UI"/>
          <w:color w:val="323130"/>
          <w:sz w:val="24"/>
          <w:szCs w:val="24"/>
        </w:rPr>
        <w:t>En resumen, para que un texto sea accesible en cuanto a color, debe haber suficiente contraste entre las letras y el fondo y el color de texto no debe ser indispensable para la comprensión de la información. Si es accesible para las personas con discapacidad, es accesible para todas las personas. Elaborado por Sonia Hernández González, locución con inteligencia artificial de narakit.com música con inteligencia artificiallautli.com.</w:t>
      </w:r>
    </w:p>
    <w:p w14:paraId="27FC543E" w14:textId="77777777" w:rsidR="00E554BC" w:rsidRDefault="00E554BC" w:rsidP="00E554BC">
      <w:pPr>
        <w:spacing w:before="240" w:after="120" w:line="360" w:lineRule="auto"/>
        <w:rPr>
          <w:rFonts w:ascii="Century Gothic" w:eastAsia="Segoe UI" w:hAnsi="Century Gothic" w:cs="Segoe UI"/>
          <w:color w:val="605E5C"/>
          <w:sz w:val="24"/>
          <w:szCs w:val="24"/>
        </w:rPr>
      </w:pPr>
      <w:r w:rsidRPr="00E554BC">
        <w:rPr>
          <w:rFonts w:ascii="Century Gothic" w:eastAsia="Segoe UI" w:hAnsi="Century Gothic" w:cs="Segoe UI"/>
          <w:b/>
          <w:bCs/>
          <w:color w:val="605E5C"/>
          <w:sz w:val="24"/>
          <w:szCs w:val="24"/>
        </w:rPr>
        <w:t xml:space="preserve">Tiempo: </w:t>
      </w:r>
      <w:r w:rsidRPr="00E554BC">
        <w:rPr>
          <w:rFonts w:ascii="Century Gothic" w:eastAsia="Segoe UI" w:hAnsi="Century Gothic" w:cs="Segoe UI"/>
          <w:color w:val="605E5C"/>
          <w:sz w:val="24"/>
          <w:szCs w:val="24"/>
        </w:rPr>
        <w:t>2:01</w:t>
      </w:r>
    </w:p>
    <w:p w14:paraId="7D8C069F" w14:textId="1BD07A9B" w:rsidR="00D02047" w:rsidRDefault="00E554BC" w:rsidP="00E554BC">
      <w:pPr>
        <w:spacing w:before="240" w:after="120" w:line="360" w:lineRule="auto"/>
        <w:rPr>
          <w:rFonts w:ascii="Century Gothic" w:eastAsia="Segoe UI" w:hAnsi="Century Gothic" w:cs="Segoe UI"/>
          <w:color w:val="323130"/>
          <w:sz w:val="24"/>
          <w:szCs w:val="24"/>
        </w:rPr>
      </w:pPr>
      <w:r w:rsidRPr="00E554BC">
        <w:rPr>
          <w:rFonts w:ascii="Century Gothic" w:eastAsia="Segoe UI" w:hAnsi="Century Gothic" w:cs="Segoe UI"/>
          <w:b/>
          <w:bCs/>
          <w:color w:val="605E5C"/>
          <w:sz w:val="24"/>
          <w:szCs w:val="24"/>
        </w:rPr>
        <w:t>Narración:</w:t>
      </w:r>
      <w:r w:rsidRPr="00E554BC">
        <w:rPr>
          <w:rFonts w:ascii="Century Gothic" w:eastAsia="Segoe UI" w:hAnsi="Century Gothic" w:cs="Segoe UI"/>
          <w:color w:val="605E5C"/>
          <w:sz w:val="24"/>
          <w:szCs w:val="24"/>
        </w:rPr>
        <w:t xml:space="preserve"> </w:t>
      </w:r>
      <w:r w:rsidRPr="00E554BC">
        <w:rPr>
          <w:rFonts w:ascii="Century Gothic" w:eastAsia="Segoe UI" w:hAnsi="Century Gothic" w:cs="Segoe UI"/>
          <w:color w:val="323130"/>
          <w:sz w:val="24"/>
          <w:szCs w:val="24"/>
        </w:rPr>
        <w:t>Ministerio de Educación Pública de Costa Rica, noviembre de 2024.</w:t>
      </w:r>
    </w:p>
    <w:p w14:paraId="23FB5402" w14:textId="14C3CF2E" w:rsidR="005F3240" w:rsidRPr="00E554BC" w:rsidRDefault="005F3240" w:rsidP="005F3240">
      <w:pPr>
        <w:spacing w:before="240" w:after="120" w:line="360" w:lineRule="auto"/>
        <w:jc w:val="center"/>
        <w:rPr>
          <w:rFonts w:ascii="Century Gothic" w:hAnsi="Century Gothic"/>
          <w:sz w:val="24"/>
          <w:szCs w:val="24"/>
        </w:rPr>
      </w:pPr>
      <w:r>
        <w:rPr>
          <w:rFonts w:ascii="HendersonSansW00-BasicSmBd" w:eastAsia="Segoe UI" w:hAnsi="HendersonSansW00-BasicSmBd"/>
          <w:noProof/>
        </w:rPr>
        <w:drawing>
          <wp:inline distT="0" distB="0" distL="0" distR="0" wp14:anchorId="36EFDD05" wp14:editId="05E17F53">
            <wp:extent cx="1744086" cy="1905000"/>
            <wp:effectExtent l="0" t="0" r="8890" b="0"/>
            <wp:docPr id="2038484487" name="Imagen 1" descr="Identificador. Símbolo Internacional de Accesibilidad en un monitor de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84487" name="Imagen 1" descr="Identificador. Símbolo Internacional de Accesibilidad en un monitor de computado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786" cy="1926518"/>
                    </a:xfrm>
                    <a:prstGeom prst="rect">
                      <a:avLst/>
                    </a:prstGeom>
                    <a:noFill/>
                    <a:ln>
                      <a:noFill/>
                    </a:ln>
                  </pic:spPr>
                </pic:pic>
              </a:graphicData>
            </a:graphic>
          </wp:inline>
        </w:drawing>
      </w:r>
    </w:p>
    <w:sectPr w:rsidR="005F3240" w:rsidRPr="00E554BC">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1FB0" w14:textId="77777777" w:rsidR="00CD7962" w:rsidRDefault="00CD7962" w:rsidP="005F3240">
      <w:r>
        <w:separator/>
      </w:r>
    </w:p>
  </w:endnote>
  <w:endnote w:type="continuationSeparator" w:id="0">
    <w:p w14:paraId="7925D561" w14:textId="77777777" w:rsidR="00CD7962" w:rsidRDefault="00CD7962" w:rsidP="005F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ndersonSansW00-BasicSmBd">
    <w:panose1 w:val="02000505030000020004"/>
    <w:charset w:val="00"/>
    <w:family w:val="auto"/>
    <w:pitch w:val="variable"/>
    <w:sig w:usb0="A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554148"/>
      <w:docPartObj>
        <w:docPartGallery w:val="Page Numbers (Bottom of Page)"/>
        <w:docPartUnique/>
      </w:docPartObj>
    </w:sdtPr>
    <w:sdtContent>
      <w:sdt>
        <w:sdtPr>
          <w:id w:val="-1769616900"/>
          <w:docPartObj>
            <w:docPartGallery w:val="Page Numbers (Top of Page)"/>
            <w:docPartUnique/>
          </w:docPartObj>
        </w:sdtPr>
        <w:sdtContent>
          <w:p w14:paraId="40140658" w14:textId="16803255" w:rsidR="005F3240" w:rsidRDefault="005F3240">
            <w:pPr>
              <w:pStyle w:val="Piedepgina"/>
              <w:jc w:val="right"/>
            </w:pPr>
            <w:r w:rsidRPr="005F3240">
              <w:rPr>
                <w:rFonts w:ascii="Century Gothic" w:hAnsi="Century Gothic"/>
                <w:sz w:val="24"/>
                <w:szCs w:val="24"/>
                <w:lang w:val="es-ES"/>
              </w:rPr>
              <w:t xml:space="preserve">Página </w:t>
            </w:r>
            <w:r w:rsidRPr="005F3240">
              <w:rPr>
                <w:rFonts w:ascii="Century Gothic" w:hAnsi="Century Gothic"/>
                <w:b/>
                <w:bCs/>
                <w:sz w:val="24"/>
                <w:szCs w:val="24"/>
              </w:rPr>
              <w:fldChar w:fldCharType="begin"/>
            </w:r>
            <w:r w:rsidRPr="005F3240">
              <w:rPr>
                <w:rFonts w:ascii="Century Gothic" w:hAnsi="Century Gothic"/>
                <w:b/>
                <w:bCs/>
                <w:sz w:val="24"/>
                <w:szCs w:val="24"/>
              </w:rPr>
              <w:instrText>PAGE</w:instrText>
            </w:r>
            <w:r w:rsidRPr="005F3240">
              <w:rPr>
                <w:rFonts w:ascii="Century Gothic" w:hAnsi="Century Gothic"/>
                <w:b/>
                <w:bCs/>
                <w:sz w:val="24"/>
                <w:szCs w:val="24"/>
              </w:rPr>
              <w:fldChar w:fldCharType="separate"/>
            </w:r>
            <w:r w:rsidRPr="005F3240">
              <w:rPr>
                <w:rFonts w:ascii="Century Gothic" w:hAnsi="Century Gothic"/>
                <w:b/>
                <w:bCs/>
                <w:sz w:val="24"/>
                <w:szCs w:val="24"/>
                <w:lang w:val="es-ES"/>
              </w:rPr>
              <w:t>2</w:t>
            </w:r>
            <w:r w:rsidRPr="005F3240">
              <w:rPr>
                <w:rFonts w:ascii="Century Gothic" w:hAnsi="Century Gothic"/>
                <w:b/>
                <w:bCs/>
                <w:sz w:val="24"/>
                <w:szCs w:val="24"/>
              </w:rPr>
              <w:fldChar w:fldCharType="end"/>
            </w:r>
            <w:r w:rsidRPr="005F3240">
              <w:rPr>
                <w:rFonts w:ascii="Century Gothic" w:hAnsi="Century Gothic"/>
                <w:sz w:val="24"/>
                <w:szCs w:val="24"/>
                <w:lang w:val="es-ES"/>
              </w:rPr>
              <w:t xml:space="preserve"> de </w:t>
            </w:r>
            <w:r w:rsidRPr="005F3240">
              <w:rPr>
                <w:rFonts w:ascii="Century Gothic" w:hAnsi="Century Gothic"/>
                <w:b/>
                <w:bCs/>
                <w:sz w:val="24"/>
                <w:szCs w:val="24"/>
              </w:rPr>
              <w:fldChar w:fldCharType="begin"/>
            </w:r>
            <w:r w:rsidRPr="005F3240">
              <w:rPr>
                <w:rFonts w:ascii="Century Gothic" w:hAnsi="Century Gothic"/>
                <w:b/>
                <w:bCs/>
                <w:sz w:val="24"/>
                <w:szCs w:val="24"/>
              </w:rPr>
              <w:instrText>NUMPAGES</w:instrText>
            </w:r>
            <w:r w:rsidRPr="005F3240">
              <w:rPr>
                <w:rFonts w:ascii="Century Gothic" w:hAnsi="Century Gothic"/>
                <w:b/>
                <w:bCs/>
                <w:sz w:val="24"/>
                <w:szCs w:val="24"/>
              </w:rPr>
              <w:fldChar w:fldCharType="separate"/>
            </w:r>
            <w:r w:rsidRPr="005F3240">
              <w:rPr>
                <w:rFonts w:ascii="Century Gothic" w:hAnsi="Century Gothic"/>
                <w:b/>
                <w:bCs/>
                <w:sz w:val="24"/>
                <w:szCs w:val="24"/>
                <w:lang w:val="es-ES"/>
              </w:rPr>
              <w:t>2</w:t>
            </w:r>
            <w:r w:rsidRPr="005F3240">
              <w:rPr>
                <w:rFonts w:ascii="Century Gothic" w:hAnsi="Century Gothic"/>
                <w:b/>
                <w:bCs/>
                <w:sz w:val="24"/>
                <w:szCs w:val="24"/>
              </w:rPr>
              <w:fldChar w:fldCharType="end"/>
            </w:r>
          </w:p>
        </w:sdtContent>
      </w:sdt>
    </w:sdtContent>
  </w:sdt>
  <w:p w14:paraId="7A49884E" w14:textId="77777777" w:rsidR="005F3240" w:rsidRDefault="005F32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73EA9" w14:textId="77777777" w:rsidR="00CD7962" w:rsidRDefault="00CD7962" w:rsidP="005F3240">
      <w:r>
        <w:separator/>
      </w:r>
    </w:p>
  </w:footnote>
  <w:footnote w:type="continuationSeparator" w:id="0">
    <w:p w14:paraId="3E741D20" w14:textId="77777777" w:rsidR="00CD7962" w:rsidRDefault="00CD7962" w:rsidP="005F3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390C"/>
    <w:multiLevelType w:val="hybridMultilevel"/>
    <w:tmpl w:val="65AE38DC"/>
    <w:lvl w:ilvl="0" w:tplc="C2AE010E">
      <w:start w:val="1"/>
      <w:numFmt w:val="bullet"/>
      <w:lvlText w:val="●"/>
      <w:lvlJc w:val="left"/>
      <w:pPr>
        <w:ind w:left="720" w:hanging="360"/>
      </w:pPr>
    </w:lvl>
    <w:lvl w:ilvl="1" w:tplc="D9ECE8CA">
      <w:start w:val="1"/>
      <w:numFmt w:val="bullet"/>
      <w:lvlText w:val="○"/>
      <w:lvlJc w:val="left"/>
      <w:pPr>
        <w:ind w:left="1440" w:hanging="360"/>
      </w:pPr>
    </w:lvl>
    <w:lvl w:ilvl="2" w:tplc="37288272">
      <w:start w:val="1"/>
      <w:numFmt w:val="bullet"/>
      <w:lvlText w:val="■"/>
      <w:lvlJc w:val="left"/>
      <w:pPr>
        <w:ind w:left="2160" w:hanging="360"/>
      </w:pPr>
    </w:lvl>
    <w:lvl w:ilvl="3" w:tplc="CB981B24">
      <w:start w:val="1"/>
      <w:numFmt w:val="bullet"/>
      <w:lvlText w:val="●"/>
      <w:lvlJc w:val="left"/>
      <w:pPr>
        <w:ind w:left="2880" w:hanging="360"/>
      </w:pPr>
    </w:lvl>
    <w:lvl w:ilvl="4" w:tplc="9E18AAF2">
      <w:start w:val="1"/>
      <w:numFmt w:val="bullet"/>
      <w:lvlText w:val="○"/>
      <w:lvlJc w:val="left"/>
      <w:pPr>
        <w:ind w:left="3600" w:hanging="360"/>
      </w:pPr>
    </w:lvl>
    <w:lvl w:ilvl="5" w:tplc="7C94D84A">
      <w:start w:val="1"/>
      <w:numFmt w:val="bullet"/>
      <w:lvlText w:val="■"/>
      <w:lvlJc w:val="left"/>
      <w:pPr>
        <w:ind w:left="4320" w:hanging="360"/>
      </w:pPr>
    </w:lvl>
    <w:lvl w:ilvl="6" w:tplc="39189E7A">
      <w:start w:val="1"/>
      <w:numFmt w:val="bullet"/>
      <w:lvlText w:val="●"/>
      <w:lvlJc w:val="left"/>
      <w:pPr>
        <w:ind w:left="5040" w:hanging="360"/>
      </w:pPr>
    </w:lvl>
    <w:lvl w:ilvl="7" w:tplc="29307096">
      <w:start w:val="1"/>
      <w:numFmt w:val="bullet"/>
      <w:lvlText w:val="●"/>
      <w:lvlJc w:val="left"/>
      <w:pPr>
        <w:ind w:left="5760" w:hanging="360"/>
      </w:pPr>
    </w:lvl>
    <w:lvl w:ilvl="8" w:tplc="9788B65E">
      <w:start w:val="1"/>
      <w:numFmt w:val="bullet"/>
      <w:lvlText w:val="●"/>
      <w:lvlJc w:val="left"/>
      <w:pPr>
        <w:ind w:left="6480" w:hanging="360"/>
      </w:pPr>
    </w:lvl>
  </w:abstractNum>
  <w:num w:numId="1" w16cid:durableId="1122306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47"/>
    <w:rsid w:val="00023FFB"/>
    <w:rsid w:val="003613AB"/>
    <w:rsid w:val="005F3240"/>
    <w:rsid w:val="0082466A"/>
    <w:rsid w:val="009018A7"/>
    <w:rsid w:val="00CD7962"/>
    <w:rsid w:val="00D02047"/>
    <w:rsid w:val="00E554BC"/>
    <w:rsid w:val="00EF47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7E3E"/>
  <w15:docId w15:val="{17DEB28B-6FC3-46EE-85BD-F959F846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5F3240"/>
    <w:pPr>
      <w:tabs>
        <w:tab w:val="center" w:pos="4419"/>
        <w:tab w:val="right" w:pos="8838"/>
      </w:tabs>
    </w:pPr>
  </w:style>
  <w:style w:type="character" w:customStyle="1" w:styleId="EncabezadoCar">
    <w:name w:val="Encabezado Car"/>
    <w:basedOn w:val="Fuentedeprrafopredeter"/>
    <w:link w:val="Encabezado"/>
    <w:uiPriority w:val="99"/>
    <w:rsid w:val="005F3240"/>
  </w:style>
  <w:style w:type="paragraph" w:styleId="Piedepgina">
    <w:name w:val="footer"/>
    <w:basedOn w:val="Normal"/>
    <w:link w:val="PiedepginaCar"/>
    <w:uiPriority w:val="99"/>
    <w:unhideWhenUsed/>
    <w:rsid w:val="005F3240"/>
    <w:pPr>
      <w:tabs>
        <w:tab w:val="center" w:pos="4419"/>
        <w:tab w:val="right" w:pos="8838"/>
      </w:tabs>
    </w:pPr>
  </w:style>
  <w:style w:type="character" w:customStyle="1" w:styleId="PiedepginaCar">
    <w:name w:val="Pie de página Car"/>
    <w:basedOn w:val="Fuentedeprrafopredeter"/>
    <w:link w:val="Piedepgina"/>
    <w:uiPriority w:val="99"/>
    <w:rsid w:val="005F3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DE80AD7E39C444B4C90D3E279A8FB0" ma:contentTypeVersion="18" ma:contentTypeDescription="Crear nuevo documento." ma:contentTypeScope="" ma:versionID="ca54f16289df6bdb7ed3a2c9cc9c7294">
  <xsd:schema xmlns:xsd="http://www.w3.org/2001/XMLSchema" xmlns:xs="http://www.w3.org/2001/XMLSchema" xmlns:p="http://schemas.microsoft.com/office/2006/metadata/properties" xmlns:ns2="a07dcbc5-7f7a-458b-8c43-568a452fe916" xmlns:ns3="172993a6-8411-4d26-91d8-ea049311f951" targetNamespace="http://schemas.microsoft.com/office/2006/metadata/properties" ma:root="true" ma:fieldsID="849aedb4c89f87e370203ae530be89c3" ns2:_="" ns3:_="">
    <xsd:import namespace="a07dcbc5-7f7a-458b-8c43-568a452fe916"/>
    <xsd:import namespace="172993a6-8411-4d26-91d8-ea049311f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cbc5-7f7a-458b-8c43-568a452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993a6-8411-4d26-91d8-ea049311f95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2e0a9fc-de98-4460-a0e4-002b4233be69}" ma:internalName="TaxCatchAll" ma:showField="CatchAllData" ma:web="172993a6-8411-4d26-91d8-ea049311f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993a6-8411-4d26-91d8-ea049311f951" xsi:nil="true"/>
    <lcf76f155ced4ddcb4097134ff3c332f xmlns="a07dcbc5-7f7a-458b-8c43-568a452fe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F94D90-D9D9-492F-B928-9B12FF5C6D8B}"/>
</file>

<file path=customXml/itemProps2.xml><?xml version="1.0" encoding="utf-8"?>
<ds:datastoreItem xmlns:ds="http://schemas.openxmlformats.org/officeDocument/2006/customXml" ds:itemID="{87324941-E84B-40BA-BF89-5D86D5E0B91D}"/>
</file>

<file path=customXml/itemProps3.xml><?xml version="1.0" encoding="utf-8"?>
<ds:datastoreItem xmlns:ds="http://schemas.openxmlformats.org/officeDocument/2006/customXml" ds:itemID="{62566E59-6731-4FD3-9F1B-60AEEDF349A2}"/>
</file>

<file path=docProps/app.xml><?xml version="1.0" encoding="utf-8"?>
<Properties xmlns="http://schemas.openxmlformats.org/officeDocument/2006/extended-properties" xmlns:vt="http://schemas.openxmlformats.org/officeDocument/2006/docPropsVTypes">
  <Template>Normal</Template>
  <TotalTime>97</TotalTime>
  <Pages>2</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Sonia Hernández González</cp:lastModifiedBy>
  <cp:revision>5</cp:revision>
  <cp:lastPrinted>2024-12-17T18:46:00Z</cp:lastPrinted>
  <dcterms:created xsi:type="dcterms:W3CDTF">2024-12-16T16:17:00Z</dcterms:created>
  <dcterms:modified xsi:type="dcterms:W3CDTF">2024-12-17T18:46:00Z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0x01010065DE80AD7E39C444B4C90D3E279A8FB0</vt:lpwstr>
  </property>
</Properties>
</file>