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DIRECTRIZ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N° 079-MP-MSP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EL PRESIDENTE DE LA REPÚBLICA,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EL MINISTRO DE LA PRESIDENCIA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Y EL MINISTRO DE SEGURIDAD PÚBLICA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De conformidad con lo dispuesto en los artículos 140 incisos 8), 9), 18) y 20), de la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Constitución Política y las atribuciones que les confieren los artículos 99 y 100 de la Ley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General de la Administración Pública, Ley N° 6227 del 2 de mayo de 1978, artículo 243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la Ley de Transito por las Vías Públicas Terrestres y Seguridad Vial, Ley N° 9078 del 04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 octubre de 2012.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CONSIDERANDO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I. Que de conformidad con lo que dispone el artículo 9 de la Constitución Política, el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Gobierno de la República lo ejercen el pueblo y tres Poderes distintos 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independientes entre sí, el Legislativo, el Ejecutivo</w:t>
      </w:r>
      <w:r>
        <w:rPr>
          <w:rFonts w:ascii="TimesNewRoman" w:hAnsi="TimesNewRoman" w:cs="TimesNewRoman"/>
          <w:sz w:val="24"/>
          <w:szCs w:val="24"/>
        </w:rPr>
        <w:t xml:space="preserve"> y el Judicial y ninguno de los </w:t>
      </w:r>
      <w:r>
        <w:rPr>
          <w:rFonts w:ascii="TimesNewRoman" w:hAnsi="TimesNewRoman" w:cs="TimesNewRoman"/>
          <w:sz w:val="24"/>
          <w:szCs w:val="24"/>
        </w:rPr>
        <w:t>Poderes pueden delegar el ejercicio de funciones que le son propias.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II. Que ese mismo artículo constitucional dispone que el Tribunal Supremo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Elecciones, tendrá rango e independe</w:t>
      </w:r>
      <w:r>
        <w:rPr>
          <w:rFonts w:ascii="TimesNewRoman" w:hAnsi="TimesNewRoman" w:cs="TimesNewRoman"/>
          <w:sz w:val="24"/>
          <w:szCs w:val="24"/>
        </w:rPr>
        <w:t xml:space="preserve">ncia de los Poderes del Estado, </w:t>
      </w:r>
      <w:r>
        <w:rPr>
          <w:rFonts w:ascii="TimesNewRoman" w:hAnsi="TimesNewRoman" w:cs="TimesNewRoman"/>
          <w:sz w:val="24"/>
          <w:szCs w:val="24"/>
        </w:rPr>
        <w:t>correspondiéndole en forma exclusiva e independient</w:t>
      </w:r>
      <w:r>
        <w:rPr>
          <w:rFonts w:ascii="TimesNewRoman" w:hAnsi="TimesNewRoman" w:cs="TimesNewRoman"/>
          <w:sz w:val="24"/>
          <w:szCs w:val="24"/>
        </w:rPr>
        <w:t xml:space="preserve">e, la organización, dirección y </w:t>
      </w:r>
      <w:r>
        <w:rPr>
          <w:rFonts w:ascii="TimesNewRoman" w:hAnsi="TimesNewRoman" w:cs="TimesNewRoman"/>
          <w:sz w:val="24"/>
          <w:szCs w:val="24"/>
        </w:rPr>
        <w:t>vigilancia de los actos relativos al sufragio.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III. Que el artículo 99 de la Constitución Política, establece que el Tribunal Supremo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Elecciones es la institución encargada de organiz</w:t>
      </w:r>
      <w:r>
        <w:rPr>
          <w:rFonts w:ascii="TimesNewRoman" w:hAnsi="TimesNewRoman" w:cs="TimesNewRoman"/>
          <w:sz w:val="24"/>
          <w:szCs w:val="24"/>
        </w:rPr>
        <w:t xml:space="preserve">ar, dirigir y vigilar los actos </w:t>
      </w:r>
      <w:r>
        <w:rPr>
          <w:rFonts w:ascii="TimesNewRoman" w:hAnsi="TimesNewRoman" w:cs="TimesNewRoman"/>
          <w:sz w:val="24"/>
          <w:szCs w:val="24"/>
        </w:rPr>
        <w:t>relativos al sufragio, de manera que los procesos electorales resulten transparentes y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confiables y sean capaces de sustentar la convivencia democrática.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IV. Que el inciso 9 del artículo 140 de la Constitución Política, establece como parte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los deberes y atribuciones del Poder Ejecutivo: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“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Ejecutar y hacer cumplir todo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cuanto resuelvan o dispongan en los asuntos de s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u competencia los tribunales de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Justicia y los organismos electorales, a solicitud de los mismos”.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V. Que el artículo 158 del Código Electoral, establece que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“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Por lo menos quince días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antes de la fecha fijada para las elecciones, el Regi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stro Electoral tendrá que haber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enviado el material y la documentación electoral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es a las juntas cantonales, las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cuales lo distribuirán de inmediato entre las junt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as receptoras de votos, de modo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que lleguen a poder de estas, como mínimo o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cho días naturales antes de las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elecciones. Cuando lo considere conveniente, el TSE podrá disponer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que el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material y la documentación electorales se entreguen directamente a las juntas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receptoras de votos. El TSE especificará, para cada elección, lo que considere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como material y documentación </w:t>
      </w:r>
      <w:r>
        <w:rPr>
          <w:rFonts w:ascii="TimesNewRoman" w:hAnsi="TimesNewRoman" w:cs="TimesNewRoman"/>
          <w:sz w:val="24"/>
          <w:szCs w:val="24"/>
        </w:rPr>
        <w:t xml:space="preserve">electorales,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y adoptará las medidas que garanticen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la seguridad de estos</w:t>
      </w:r>
      <w:r>
        <w:rPr>
          <w:rFonts w:ascii="TimesNewRoman" w:hAnsi="TimesNewRoman" w:cs="TimesNewRoman"/>
          <w:sz w:val="24"/>
          <w:szCs w:val="24"/>
        </w:rPr>
        <w:t>”.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VI. Que en el marco del encuentro sostenido el 15 de febrero del año 2017, entre los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Presidentes de los Supremos Poderes, acord</w:t>
      </w:r>
      <w:r>
        <w:rPr>
          <w:rFonts w:ascii="TimesNewRoman" w:hAnsi="TimesNewRoman" w:cs="TimesNewRoman"/>
          <w:sz w:val="24"/>
          <w:szCs w:val="24"/>
        </w:rPr>
        <w:t xml:space="preserve">aron llevar a cabo acciones que </w:t>
      </w:r>
      <w:r>
        <w:rPr>
          <w:rFonts w:ascii="TimesNewRoman" w:hAnsi="TimesNewRoman" w:cs="TimesNewRoman"/>
          <w:sz w:val="24"/>
          <w:szCs w:val="24"/>
        </w:rPr>
        <w:t>propicien la colaboración interinstitucional,</w:t>
      </w:r>
      <w:r>
        <w:rPr>
          <w:rFonts w:ascii="TimesNewRoman" w:hAnsi="TimesNewRoman" w:cs="TimesNewRoman"/>
          <w:sz w:val="24"/>
          <w:szCs w:val="24"/>
        </w:rPr>
        <w:t xml:space="preserve"> para garantizar el éxito de la </w:t>
      </w:r>
      <w:r>
        <w:rPr>
          <w:rFonts w:ascii="TimesNewRoman" w:hAnsi="TimesNewRoman" w:cs="TimesNewRoman"/>
          <w:sz w:val="24"/>
          <w:szCs w:val="24"/>
        </w:rPr>
        <w:t>celebración de las Elecciones Nacionales, a verificarse el 4 de febrero del año 2018.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VII. Que el Tribunal Supremo de Elecciones no cuenta con suficientes vehículos para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trasladar el material, los documentos electorales</w:t>
      </w:r>
      <w:r>
        <w:rPr>
          <w:rFonts w:ascii="TimesNewRoman" w:hAnsi="TimesNewRoman" w:cs="TimesNewRoman"/>
          <w:sz w:val="24"/>
          <w:szCs w:val="24"/>
        </w:rPr>
        <w:t xml:space="preserve">, ni de quienes desarrollan los </w:t>
      </w:r>
      <w:r>
        <w:rPr>
          <w:rFonts w:ascii="TimesNewRoman" w:hAnsi="TimesNewRoman" w:cs="TimesNewRoman"/>
          <w:sz w:val="24"/>
          <w:szCs w:val="24"/>
        </w:rPr>
        <w:t>diferentes programas electorales, a las distintas juntas electorales y receptoras,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establecidas en todo el territorio costarr</w:t>
      </w:r>
      <w:r>
        <w:rPr>
          <w:rFonts w:ascii="TimesNewRoman" w:hAnsi="TimesNewRoman" w:cs="TimesNewRoman"/>
          <w:sz w:val="24"/>
          <w:szCs w:val="24"/>
        </w:rPr>
        <w:t xml:space="preserve">icense y para esto es necesario </w:t>
      </w:r>
      <w:r>
        <w:rPr>
          <w:rFonts w:ascii="TimesNewRoman" w:hAnsi="TimesNewRoman" w:cs="TimesNewRoman"/>
          <w:sz w:val="24"/>
          <w:szCs w:val="24"/>
        </w:rPr>
        <w:t>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colaboración de ministerios, órganos</w:t>
      </w:r>
      <w:r>
        <w:rPr>
          <w:rFonts w:ascii="TimesNewRoman" w:hAnsi="TimesNewRoman" w:cs="TimesNewRoman"/>
          <w:sz w:val="24"/>
          <w:szCs w:val="24"/>
        </w:rPr>
        <w:t xml:space="preserve"> desconcentrados, instituciones </w:t>
      </w:r>
      <w:r>
        <w:rPr>
          <w:rFonts w:ascii="TimesNewRoman" w:hAnsi="TimesNewRoman" w:cs="TimesNewRoman"/>
          <w:sz w:val="24"/>
          <w:szCs w:val="24"/>
        </w:rPr>
        <w:t>descentralizadas y demás entes creados al amparo d</w:t>
      </w:r>
      <w:r>
        <w:rPr>
          <w:rFonts w:ascii="TimesNewRoman" w:hAnsi="TimesNewRoman" w:cs="TimesNewRoman"/>
          <w:sz w:val="24"/>
          <w:szCs w:val="24"/>
        </w:rPr>
        <w:t xml:space="preserve">e los artículos 188 y 189 de la </w:t>
      </w:r>
      <w:r>
        <w:rPr>
          <w:rFonts w:ascii="TimesNewRoman" w:hAnsi="TimesNewRoman" w:cs="TimesNewRoman"/>
          <w:sz w:val="24"/>
          <w:szCs w:val="24"/>
        </w:rPr>
        <w:t>Constitución Política que conforman la Adminis</w:t>
      </w:r>
      <w:r>
        <w:rPr>
          <w:rFonts w:ascii="TimesNewRoman" w:hAnsi="TimesNewRoman" w:cs="TimesNewRoman"/>
          <w:sz w:val="24"/>
          <w:szCs w:val="24"/>
        </w:rPr>
        <w:t xml:space="preserve">tración Pública, para que estos </w:t>
      </w:r>
      <w:r>
        <w:rPr>
          <w:rFonts w:ascii="TimesNewRoman" w:hAnsi="TimesNewRoman" w:cs="TimesNewRoman"/>
          <w:sz w:val="24"/>
          <w:szCs w:val="24"/>
        </w:rPr>
        <w:t>entes faciliten por medio de convenios de préstamo, vehículos de su propiedad al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Tribunal Supremo de Elecciones.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VIII. Que el artículo 243 de la Ley de Transito por las Vías Públicas Terrestres y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Seguridad Vial N° 9078, estipula que: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“Los vehículo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s del Estado, sus instituciones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centralizadas y descentralizadas y gobiernos locales pueden ser ut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ilizados, en casos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de excepción, por otra institución. Salvo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 norma expresa en contrario, el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beneficiario asume la responsabilidad de su opera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ción. En caso de pérdida total,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por accidente o robo, los costos corresponden al beneficiario”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 xml:space="preserve">. </w:t>
      </w:r>
      <w:r>
        <w:rPr>
          <w:rFonts w:ascii="TimesNewRoman" w:hAnsi="TimesNewRoman" w:cs="TimesNewRoman"/>
          <w:sz w:val="24"/>
          <w:szCs w:val="24"/>
        </w:rPr>
        <w:t>IX. Que el Tribunal Supremo de Elecciones no cuenta con suficiente personal para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operar los vehículos que los ministerios, órganos desconcentrados, instituciones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descentralizadas y demás entes públicos puedan llegar a prestarle, razón por la cual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se vuelve necesario que estos entes faciliten a su vez, funcionarios debidamente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autorizados para conducir los vehículos.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X. Que el artículo 112 del Reglamento al Estatuto del Servicio Civil posibilita que los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servidores públicos sean trasladados transitoriamente a desempeñarse en ot</w:t>
      </w:r>
      <w:r>
        <w:rPr>
          <w:rFonts w:ascii="TimesNewRoman" w:hAnsi="TimesNewRoman" w:cs="TimesNewRoman"/>
          <w:sz w:val="24"/>
          <w:szCs w:val="24"/>
        </w:rPr>
        <w:t xml:space="preserve">ras </w:t>
      </w:r>
      <w:r>
        <w:rPr>
          <w:rFonts w:ascii="TimesNewRoman" w:hAnsi="TimesNewRoman" w:cs="TimesNewRoman"/>
          <w:sz w:val="24"/>
          <w:szCs w:val="24"/>
        </w:rPr>
        <w:t>instituciones del Estado, sin dejar de disfrutar los b</w:t>
      </w:r>
      <w:r>
        <w:rPr>
          <w:rFonts w:ascii="TimesNewRoman" w:hAnsi="TimesNewRoman" w:cs="TimesNewRoman"/>
          <w:sz w:val="24"/>
          <w:szCs w:val="24"/>
        </w:rPr>
        <w:t xml:space="preserve">eneficios y deberes que les han </w:t>
      </w:r>
      <w:r>
        <w:rPr>
          <w:rFonts w:ascii="TimesNewRoman" w:hAnsi="TimesNewRoman" w:cs="TimesNewRoman"/>
          <w:sz w:val="24"/>
          <w:szCs w:val="24"/>
        </w:rPr>
        <w:t>sido conferidos.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XI. Que el inciso 6 del artículo 102 de la Cons</w:t>
      </w:r>
      <w:r>
        <w:rPr>
          <w:rFonts w:ascii="TimesNewRoman" w:hAnsi="TimesNewRoman" w:cs="TimesNewRoman"/>
          <w:sz w:val="24"/>
          <w:szCs w:val="24"/>
        </w:rPr>
        <w:t xml:space="preserve">titución Política establece que </w:t>
      </w:r>
      <w:r>
        <w:rPr>
          <w:rFonts w:ascii="TimesNewRoman" w:hAnsi="TimesNewRoman" w:cs="TimesNewRoman"/>
          <w:sz w:val="24"/>
          <w:szCs w:val="24"/>
        </w:rPr>
        <w:t>corresponde al Tribunal Supremo de Elecciones dictar, con respecto a l</w:t>
      </w:r>
      <w:r>
        <w:rPr>
          <w:rFonts w:ascii="TimesNewRoman" w:hAnsi="TimesNewRoman" w:cs="TimesNewRoman"/>
          <w:sz w:val="24"/>
          <w:szCs w:val="24"/>
        </w:rPr>
        <w:t xml:space="preserve">a fuerza </w:t>
      </w:r>
      <w:r>
        <w:rPr>
          <w:rFonts w:ascii="TimesNewRoman" w:hAnsi="TimesNewRoman" w:cs="TimesNewRoman"/>
          <w:sz w:val="24"/>
          <w:szCs w:val="24"/>
        </w:rPr>
        <w:t>pública, las medidas pertinentes para que los procesos electorales se desarrollen en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condiciones de garantías y libertad irrestrictas.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XII. Que el artículo 142 del Código Electoral dispo</w:t>
      </w:r>
      <w:r>
        <w:rPr>
          <w:rFonts w:ascii="TimesNewRoman" w:hAnsi="TimesNewRoman" w:cs="TimesNewRoman"/>
          <w:sz w:val="24"/>
          <w:szCs w:val="24"/>
        </w:rPr>
        <w:t xml:space="preserve">ne la prohibición relativa a la </w:t>
      </w:r>
      <w:r>
        <w:rPr>
          <w:rFonts w:ascii="TimesNewRoman" w:hAnsi="TimesNewRoman" w:cs="TimesNewRoman"/>
          <w:sz w:val="24"/>
          <w:szCs w:val="24"/>
        </w:rPr>
        <w:t>publicidad de la gestión gubernamental durante los procesos electorales.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XIII. Que el artículo 146 del Código Electoral señala las </w:t>
      </w:r>
      <w:r>
        <w:rPr>
          <w:rFonts w:ascii="TimesNewRoman" w:hAnsi="TimesNewRoman" w:cs="TimesNewRoman"/>
          <w:sz w:val="24"/>
          <w:szCs w:val="24"/>
        </w:rPr>
        <w:t xml:space="preserve">prohibiciones contempladas para </w:t>
      </w:r>
      <w:r>
        <w:rPr>
          <w:rFonts w:ascii="TimesNewRoman" w:hAnsi="TimesNewRoman" w:cs="TimesNewRoman"/>
          <w:sz w:val="24"/>
          <w:szCs w:val="24"/>
        </w:rPr>
        <w:t>los empleados y funcionarios públicos con ocasión de esos procesos electorales.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XIV. Que de acuerdo con el Cronograma Electoral la Convocatoria a las Elecciones</w:t>
      </w: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Nacionales se llevará a cabo el día 4 de octubre del año en curso.</w:t>
      </w:r>
    </w:p>
    <w:p w:rsidR="004B275D" w:rsidRDefault="004B275D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Por Tanto, se emite la siguiente Directriz:</w:t>
      </w:r>
    </w:p>
    <w:p w:rsidR="004B275D" w:rsidRDefault="004B275D" w:rsidP="004B27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B275D" w:rsidRDefault="00140019" w:rsidP="004B27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DIRIGIDA A LOS JERARCAS DE MINISTERIOS, ÓRGANOS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DESCONCENTRADOS, INSTITUCIONES AUTÓNOMAS Y DEMÁS ENTES QUE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CONFORMEN LA ADMINISTRACIÓN PÚBLICA</w:t>
      </w:r>
    </w:p>
    <w:p w:rsidR="004B275D" w:rsidRDefault="004B275D" w:rsidP="004B27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40019" w:rsidRDefault="00140019" w:rsidP="004B27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“SOBRE LA COLABORACIÓN AL TRIBUNAL SUPREMO DE ELECCIONES EN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PERIODO ELECTORAL”</w:t>
      </w:r>
    </w:p>
    <w:p w:rsidR="004B275D" w:rsidRDefault="004B275D" w:rsidP="004B27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40019" w:rsidRDefault="00140019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Artículo 1°- </w:t>
      </w:r>
      <w:r>
        <w:rPr>
          <w:rFonts w:ascii="TimesNewRoman" w:hAnsi="TimesNewRoman" w:cs="TimesNewRoman"/>
          <w:sz w:val="24"/>
          <w:szCs w:val="24"/>
        </w:rPr>
        <w:t>Se instruye a los jerarcas de Minist</w:t>
      </w:r>
      <w:r>
        <w:rPr>
          <w:rFonts w:ascii="TimesNewRoman" w:hAnsi="TimesNewRoman" w:cs="TimesNewRoman"/>
          <w:sz w:val="24"/>
          <w:szCs w:val="24"/>
        </w:rPr>
        <w:t xml:space="preserve">erios, Órganos Desconcentrados, </w:t>
      </w:r>
      <w:r>
        <w:rPr>
          <w:rFonts w:ascii="TimesNewRoman" w:hAnsi="TimesNewRoman" w:cs="TimesNewRoman"/>
          <w:sz w:val="24"/>
          <w:szCs w:val="24"/>
        </w:rPr>
        <w:t>Instituciones Autónomas y demás entes que conformen la Admi</w:t>
      </w:r>
      <w:r>
        <w:rPr>
          <w:rFonts w:ascii="TimesNewRoman" w:hAnsi="TimesNewRoman" w:cs="TimesNewRoman"/>
          <w:sz w:val="24"/>
          <w:szCs w:val="24"/>
        </w:rPr>
        <w:t xml:space="preserve">nistración Pública a </w:t>
      </w:r>
      <w:r>
        <w:rPr>
          <w:rFonts w:ascii="TimesNewRoman" w:hAnsi="TimesNewRoman" w:cs="TimesNewRoman"/>
          <w:sz w:val="24"/>
          <w:szCs w:val="24"/>
        </w:rPr>
        <w:lastRenderedPageBreak/>
        <w:t>facilitar en calidad de préstamo vehículos oficiales de sus f</w:t>
      </w:r>
      <w:r>
        <w:rPr>
          <w:rFonts w:ascii="TimesNewRoman" w:hAnsi="TimesNewRoman" w:cs="TimesNewRoman"/>
          <w:sz w:val="24"/>
          <w:szCs w:val="24"/>
        </w:rPr>
        <w:t xml:space="preserve">lotillas institucionales, y sus </w:t>
      </w:r>
      <w:r>
        <w:rPr>
          <w:rFonts w:ascii="TimesNewRoman" w:hAnsi="TimesNewRoman" w:cs="TimesNewRoman"/>
          <w:sz w:val="24"/>
          <w:szCs w:val="24"/>
        </w:rPr>
        <w:t>respectivos operadores, a partir de la Convocatoria de Elecciones y hasta la celebración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los comicios, con el fin de que sean utilizados por el Tribunal Supremo de Elecciones, en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diversas actividades propias de la logística electoral en diferentes puntos del país; entre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ellas, la distribución y recolección de material electoral, las labores de integración,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capacitación e instalación de las juntas receptoras de votos, ratificación de los centros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votación, para lo cual deberá suscribirse el correspondiente convenio de cooperación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interinstitucional.</w:t>
      </w:r>
    </w:p>
    <w:p w:rsidR="001444E8" w:rsidRPr="00140019" w:rsidRDefault="001444E8" w:rsidP="0014001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:rsidR="00140019" w:rsidRPr="00140019" w:rsidRDefault="00140019" w:rsidP="00140019">
      <w:pPr>
        <w:jc w:val="both"/>
        <w:rPr>
          <w:rFonts w:ascii="TimesNewRoman" w:hAnsi="TimesNewRoman" w:cs="TimesNewRoman"/>
          <w:sz w:val="24"/>
          <w:szCs w:val="24"/>
        </w:rPr>
      </w:pPr>
      <w:r w:rsidRPr="00140019">
        <w:rPr>
          <w:rFonts w:ascii="TimesNewRoman" w:hAnsi="TimesNewRoman" w:cs="TimesNewRoman"/>
          <w:b/>
          <w:bCs/>
          <w:sz w:val="24"/>
          <w:szCs w:val="24"/>
        </w:rPr>
        <w:t xml:space="preserve">Artículo 2°- </w:t>
      </w:r>
      <w:r w:rsidRPr="00140019">
        <w:rPr>
          <w:rFonts w:ascii="TimesNewRoman" w:hAnsi="TimesNewRoman" w:cs="TimesNewRoman"/>
          <w:sz w:val="24"/>
          <w:szCs w:val="24"/>
        </w:rPr>
        <w:t>Se insta a los jerarcas de Ministerios, Órganos Desconcentrados, Instituciones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Autónomas y demás entes que conformen la Administración Pública, a suscribir contratos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de convenio de préstamo con el Tribunal Supremo de Elecciones, para formalizar el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préstamo de vehículos y los respectivos funcionarios operadores, a fin de satisfacer las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necesidades de transporte de material electoral y de quienes desarrollan los diferentes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programas electorales.</w:t>
      </w:r>
    </w:p>
    <w:p w:rsidR="00140019" w:rsidRPr="00140019" w:rsidRDefault="00140019" w:rsidP="00140019">
      <w:pPr>
        <w:jc w:val="both"/>
        <w:rPr>
          <w:rFonts w:ascii="TimesNewRoman" w:hAnsi="TimesNewRoman" w:cs="TimesNewRoman"/>
          <w:sz w:val="24"/>
          <w:szCs w:val="24"/>
        </w:rPr>
      </w:pPr>
      <w:r w:rsidRPr="00140019">
        <w:rPr>
          <w:rFonts w:ascii="TimesNewRoman" w:hAnsi="TimesNewRoman" w:cs="TimesNewRoman"/>
          <w:b/>
          <w:bCs/>
          <w:sz w:val="24"/>
          <w:szCs w:val="24"/>
        </w:rPr>
        <w:t xml:space="preserve">Artículo 3°- </w:t>
      </w:r>
      <w:r w:rsidRPr="00140019">
        <w:rPr>
          <w:rFonts w:ascii="TimesNewRoman" w:hAnsi="TimesNewRoman" w:cs="TimesNewRoman"/>
          <w:sz w:val="24"/>
          <w:szCs w:val="24"/>
        </w:rPr>
        <w:t>Se ordena al Ministerio de Seguridad Pública tome las previsiones pertinentes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para el efectivo cumplimiento de lo establecido en el numeral 102 de la Constitución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Política, para lo cual es necesaria la debida coordinación entre los cuerpos de policía y el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Cuerpo Nacional de Delegados del Tribunal Supremo de Elecciones, en lo que corresponde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a la atención de actividades proselitistas en sitios públicos, así como durante la jornada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comicial, sino también para la adecuada resolución de las solicitudes de apertura de clubes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partidarios.</w:t>
      </w:r>
    </w:p>
    <w:p w:rsidR="00140019" w:rsidRPr="00140019" w:rsidRDefault="00140019" w:rsidP="00140019">
      <w:pPr>
        <w:jc w:val="both"/>
        <w:rPr>
          <w:rFonts w:ascii="TimesNewRoman" w:hAnsi="TimesNewRoman" w:cs="TimesNewRoman"/>
          <w:sz w:val="24"/>
          <w:szCs w:val="24"/>
        </w:rPr>
      </w:pPr>
      <w:r w:rsidRPr="00140019">
        <w:rPr>
          <w:rFonts w:ascii="TimesNewRoman" w:hAnsi="TimesNewRoman" w:cs="TimesNewRoman"/>
          <w:b/>
          <w:bCs/>
          <w:sz w:val="24"/>
          <w:szCs w:val="24"/>
        </w:rPr>
        <w:t xml:space="preserve">Artículo 4°- </w:t>
      </w:r>
      <w:r w:rsidRPr="00140019">
        <w:rPr>
          <w:rFonts w:ascii="TimesNewRoman" w:hAnsi="TimesNewRoman" w:cs="TimesNewRoman"/>
          <w:sz w:val="24"/>
          <w:szCs w:val="24"/>
        </w:rPr>
        <w:t>En atención a lo dispuesto en el artículo 142 del Código Electoral, se le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recuerda a las instituciones del Poder Ejecutivo, de la administración descentralizada y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las empresas del Estado, la prohibición de difundir, mediante cualquier medio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comunicación, publicidad relativa a la obra pública realizada, a partir del día siguiente de la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convocatoria a elecciones nacionales y hasta el propio día de las elecciones, a excepción de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aquellas informaciones de carácter técnico o científico que resulten indispensables 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impostergables, por referirse a aspectos relacionados con la prestación de servicios públicos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esenciales o por emergencias nacionales. El incumplimiento a esta disposición, hará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incurrir a los funcionarios responsables en el delito de desobediencia y beligerancia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política.</w:t>
      </w:r>
    </w:p>
    <w:p w:rsidR="00140019" w:rsidRPr="00140019" w:rsidRDefault="00140019" w:rsidP="00140019">
      <w:pPr>
        <w:jc w:val="both"/>
        <w:rPr>
          <w:rFonts w:ascii="TimesNewRoman" w:hAnsi="TimesNewRoman" w:cs="TimesNewRoman"/>
          <w:sz w:val="24"/>
          <w:szCs w:val="24"/>
        </w:rPr>
      </w:pPr>
      <w:r w:rsidRPr="00140019">
        <w:rPr>
          <w:rFonts w:ascii="TimesNewRoman" w:hAnsi="TimesNewRoman" w:cs="TimesNewRoman"/>
          <w:b/>
          <w:bCs/>
          <w:sz w:val="24"/>
          <w:szCs w:val="24"/>
        </w:rPr>
        <w:t xml:space="preserve">Artículo 5°- </w:t>
      </w:r>
      <w:r w:rsidRPr="00140019">
        <w:rPr>
          <w:rFonts w:ascii="TimesNewRoman" w:hAnsi="TimesNewRoman" w:cs="TimesNewRoman"/>
          <w:sz w:val="24"/>
          <w:szCs w:val="24"/>
        </w:rPr>
        <w:t>Se le recuerda a los empleados y funcionarios públicos la prohibición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sz w:val="24"/>
          <w:szCs w:val="24"/>
        </w:rPr>
        <w:t>contemplada en el artículo 146 del Código Electoral, la cual dispone:</w:t>
      </w:r>
    </w:p>
    <w:p w:rsidR="00140019" w:rsidRPr="00140019" w:rsidRDefault="00140019" w:rsidP="00140019">
      <w:pPr>
        <w:jc w:val="both"/>
        <w:rPr>
          <w:rFonts w:ascii="TimesNewRoman" w:hAnsi="TimesNewRoman" w:cs="TimesNewRoman"/>
          <w:i/>
          <w:iCs/>
          <w:sz w:val="24"/>
          <w:szCs w:val="24"/>
        </w:rPr>
      </w:pPr>
      <w:r w:rsidRPr="00140019">
        <w:rPr>
          <w:rFonts w:ascii="TimesNewRoman" w:hAnsi="TimesNewRoman" w:cs="TimesNewRoman"/>
          <w:i/>
          <w:iCs/>
          <w:sz w:val="24"/>
          <w:szCs w:val="24"/>
        </w:rPr>
        <w:t xml:space="preserve">“Artículo 146.- Prohibición para empleados y funcionarios públicos. </w:t>
      </w:r>
      <w:proofErr w:type="spellStart"/>
      <w:r w:rsidRPr="00140019">
        <w:rPr>
          <w:rFonts w:ascii="TimesNewRoman" w:hAnsi="TimesNewRoman" w:cs="TimesNewRoman"/>
          <w:i/>
          <w:iCs/>
          <w:sz w:val="24"/>
          <w:szCs w:val="24"/>
        </w:rPr>
        <w:t>Prohíbese</w:t>
      </w:r>
      <w:proofErr w:type="spellEnd"/>
      <w:r w:rsidRPr="00140019">
        <w:rPr>
          <w:rFonts w:ascii="TimesNewRoman" w:hAnsi="TimesNewRoman" w:cs="TimesNewRoman"/>
          <w:i/>
          <w:iCs/>
          <w:sz w:val="24"/>
          <w:szCs w:val="24"/>
        </w:rPr>
        <w:t xml:space="preserve"> a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los empleados públicos dedicarse a trabajos o discusiones de carácter político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electoral,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durante las horas laborales y usar su cargo para beneficiar a un partido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político. Los jefes inmediatos de dichos empleados serán los responsables de vigilar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el cumplimiento de esta disposición.</w:t>
      </w:r>
    </w:p>
    <w:p w:rsidR="00140019" w:rsidRPr="00140019" w:rsidRDefault="00140019" w:rsidP="00140019">
      <w:pPr>
        <w:jc w:val="both"/>
        <w:rPr>
          <w:rFonts w:ascii="TimesNewRoman" w:hAnsi="TimesNewRoman" w:cs="TimesNewRoman"/>
          <w:i/>
          <w:iCs/>
          <w:sz w:val="24"/>
          <w:szCs w:val="24"/>
        </w:rPr>
      </w:pPr>
      <w:r w:rsidRPr="00140019">
        <w:rPr>
          <w:rFonts w:ascii="TimesNewRoman" w:hAnsi="TimesNewRoman" w:cs="TimesNewRoman"/>
          <w:i/>
          <w:iCs/>
          <w:sz w:val="24"/>
          <w:szCs w:val="24"/>
        </w:rPr>
        <w:t>Quienes ejerzan la Presidencia o las Vicepresidencias de la República, los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ministros(as) y viceministros(as), y los miembros activos o las miembros activas del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lastRenderedPageBreak/>
        <w:t xml:space="preserve">servicio exterior, el contralor o la contralora y </w:t>
      </w:r>
      <w:proofErr w:type="spellStart"/>
      <w:r w:rsidRPr="00140019">
        <w:rPr>
          <w:rFonts w:ascii="TimesNewRoman" w:hAnsi="TimesNewRoman" w:cs="TimesNewRoman"/>
          <w:i/>
          <w:iCs/>
          <w:sz w:val="24"/>
          <w:szCs w:val="24"/>
        </w:rPr>
        <w:t>subcontralor</w:t>
      </w:r>
      <w:proofErr w:type="spellEnd"/>
      <w:r w:rsidRPr="00140019">
        <w:rPr>
          <w:rFonts w:ascii="TimesNewRoman" w:hAnsi="TimesNewRoman" w:cs="TimesNewRoman"/>
          <w:i/>
          <w:iCs/>
          <w:sz w:val="24"/>
          <w:szCs w:val="24"/>
        </w:rPr>
        <w:t xml:space="preserve"> o </w:t>
      </w:r>
      <w:proofErr w:type="spellStart"/>
      <w:r w:rsidRPr="00140019">
        <w:rPr>
          <w:rFonts w:ascii="TimesNewRoman" w:hAnsi="TimesNewRoman" w:cs="TimesNewRoman"/>
          <w:i/>
          <w:iCs/>
          <w:sz w:val="24"/>
          <w:szCs w:val="24"/>
        </w:rPr>
        <w:t>subcontralora</w:t>
      </w:r>
      <w:proofErr w:type="spellEnd"/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generales de la República, el (la) defensor(a) y el (la) defensor(a) adjunto(a) de los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habitantes, el (la) procurador(a) general y el (la) procurador(a) general adjunto(a),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quienes ejerzan la presidencia ejecutiva, o sean miembros(as) de las juntas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directivas, directores ejecutivos, gerentes y subgerentes de las instituciones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autónomas y todo ente público estatal, los(as) oficiales mayores de los ministerios,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los(as) miembros (as) de la autoridad de policía, los(as) agentes del Organismo de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Investigación Judicial (OIJ), los magistrados(as) y toda persona empleada del TSE,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los magistrados y funcionarios(as) del Poder Judicial que administren justicia, y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quienes tengan prohibición en virtud de otras leyes, no podrán participar en las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actividades de los partidos políticos, asistir a clubes ni reuniones de carácter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político, utilizar la autoridad o influencia de sus cargos en beneficio de los partidos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políticos, colocar divisas en sus viviendas o vehículos, ni hacer ostentación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partidista de cualquier otro género.</w:t>
      </w:r>
    </w:p>
    <w:p w:rsidR="00140019" w:rsidRPr="00140019" w:rsidRDefault="00140019" w:rsidP="00140019">
      <w:pPr>
        <w:jc w:val="both"/>
        <w:rPr>
          <w:rFonts w:ascii="TimesNewRoman" w:hAnsi="TimesNewRoman" w:cs="TimesNewRoman"/>
          <w:i/>
          <w:iCs/>
          <w:sz w:val="24"/>
          <w:szCs w:val="24"/>
        </w:rPr>
      </w:pPr>
      <w:r w:rsidRPr="00140019">
        <w:rPr>
          <w:rFonts w:ascii="TimesNewRoman" w:hAnsi="TimesNewRoman" w:cs="TimesNewRoman"/>
          <w:i/>
          <w:iCs/>
          <w:sz w:val="24"/>
          <w:szCs w:val="24"/>
        </w:rPr>
        <w:t>En materia electoral, las personas funcionarias incluidas en el párrafo segundo de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este artículo, únicamente podrán ejercer el derecho a emitir su voto el día de las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elecciones en la forma y las condiciones establecidas en este Código.</w:t>
      </w:r>
    </w:p>
    <w:p w:rsidR="00140019" w:rsidRPr="00140019" w:rsidRDefault="00140019" w:rsidP="00140019">
      <w:pPr>
        <w:jc w:val="both"/>
        <w:rPr>
          <w:rFonts w:ascii="TimesNewRoman" w:hAnsi="TimesNewRoman" w:cs="TimesNewRoman"/>
          <w:i/>
          <w:iCs/>
          <w:sz w:val="24"/>
          <w:szCs w:val="24"/>
        </w:rPr>
      </w:pPr>
      <w:r w:rsidRPr="00140019">
        <w:rPr>
          <w:rFonts w:ascii="TimesNewRoman" w:hAnsi="TimesNewRoman" w:cs="TimesNewRoman"/>
          <w:i/>
          <w:iCs/>
          <w:sz w:val="24"/>
          <w:szCs w:val="24"/>
        </w:rPr>
        <w:t>El TSE podrá ordenar la destitución e imponer inhabilitación para ejercer cargos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públicos por un período de dos a cuatro años, a los funcionarios citados, cuando</w:t>
      </w:r>
      <w:r>
        <w:rPr>
          <w:rFonts w:ascii="TimesNewRoman" w:hAnsi="TimesNewRoman" w:cs="TimesNewRoman"/>
          <w:i/>
          <w:iCs/>
          <w:sz w:val="24"/>
          <w:szCs w:val="24"/>
        </w:rPr>
        <w:t xml:space="preserve"> </w:t>
      </w:r>
      <w:r w:rsidRPr="00140019">
        <w:rPr>
          <w:rFonts w:ascii="TimesNewRoman" w:hAnsi="TimesNewRoman" w:cs="TimesNewRoman"/>
          <w:i/>
          <w:iCs/>
          <w:sz w:val="24"/>
          <w:szCs w:val="24"/>
        </w:rPr>
        <w:t>sus actos contravengan las prohibiciones contempladas en este artículo”.</w:t>
      </w:r>
    </w:p>
    <w:p w:rsidR="00140019" w:rsidRPr="004B275D" w:rsidRDefault="00140019" w:rsidP="00140019">
      <w:pPr>
        <w:jc w:val="both"/>
        <w:rPr>
          <w:rFonts w:ascii="TimesNewRoman" w:hAnsi="TimesNewRoman" w:cs="TimesNewRoman"/>
          <w:iCs/>
          <w:sz w:val="24"/>
          <w:szCs w:val="24"/>
        </w:rPr>
      </w:pPr>
      <w:r w:rsidRPr="004B275D">
        <w:rPr>
          <w:rFonts w:ascii="TimesNewRoman" w:hAnsi="TimesNewRoman" w:cs="TimesNewRoman"/>
          <w:b/>
          <w:bCs/>
          <w:iCs/>
          <w:sz w:val="24"/>
          <w:szCs w:val="24"/>
        </w:rPr>
        <w:t xml:space="preserve">Artículo 6°- Vigencia. </w:t>
      </w:r>
      <w:r w:rsidRPr="004B275D">
        <w:rPr>
          <w:rFonts w:ascii="TimesNewRoman" w:hAnsi="TimesNewRoman" w:cs="TimesNewRoman"/>
          <w:iCs/>
          <w:sz w:val="24"/>
          <w:szCs w:val="24"/>
        </w:rPr>
        <w:t>Rige a partir de su publicación.</w:t>
      </w:r>
    </w:p>
    <w:p w:rsidR="00140019" w:rsidRPr="004B275D" w:rsidRDefault="00140019" w:rsidP="00140019">
      <w:pPr>
        <w:jc w:val="both"/>
        <w:rPr>
          <w:rFonts w:ascii="TimesNewRoman" w:hAnsi="TimesNewRoman" w:cs="TimesNewRoman"/>
          <w:iCs/>
          <w:sz w:val="24"/>
          <w:szCs w:val="24"/>
        </w:rPr>
      </w:pPr>
      <w:r w:rsidRPr="004B275D">
        <w:rPr>
          <w:rFonts w:ascii="TimesNewRoman" w:hAnsi="TimesNewRoman" w:cs="TimesNewRoman"/>
          <w:iCs/>
          <w:sz w:val="24"/>
          <w:szCs w:val="24"/>
        </w:rPr>
        <w:t>Dado en la Presidencia de la República. - San José, a los veintidós días del mes de mayo de dos mil diecisiete.</w:t>
      </w:r>
    </w:p>
    <w:p w:rsidR="004B275D" w:rsidRDefault="004B275D" w:rsidP="004B275D">
      <w:pPr>
        <w:spacing w:after="0" w:line="240" w:lineRule="auto"/>
        <w:jc w:val="center"/>
        <w:rPr>
          <w:rFonts w:ascii="TimesNewRoman" w:hAnsi="TimesNewRoman" w:cs="TimesNewRoman"/>
          <w:i/>
          <w:iCs/>
          <w:sz w:val="24"/>
          <w:szCs w:val="24"/>
        </w:rPr>
      </w:pPr>
    </w:p>
    <w:p w:rsidR="00140019" w:rsidRPr="004B275D" w:rsidRDefault="00140019" w:rsidP="004B275D">
      <w:pPr>
        <w:spacing w:after="0" w:line="240" w:lineRule="auto"/>
        <w:jc w:val="center"/>
        <w:rPr>
          <w:rFonts w:ascii="TimesNewRoman" w:hAnsi="TimesNewRoman" w:cs="TimesNewRoman"/>
          <w:iCs/>
          <w:sz w:val="24"/>
          <w:szCs w:val="24"/>
        </w:rPr>
      </w:pPr>
      <w:r w:rsidRPr="004B275D">
        <w:rPr>
          <w:rFonts w:ascii="TimesNewRoman" w:hAnsi="TimesNewRoman" w:cs="TimesNewRoman"/>
          <w:iCs/>
          <w:sz w:val="24"/>
          <w:szCs w:val="24"/>
        </w:rPr>
        <w:t>LUIS GUILLERMO SOLÍS RIVERA</w:t>
      </w:r>
    </w:p>
    <w:p w:rsidR="004B275D" w:rsidRPr="004B275D" w:rsidRDefault="004B275D" w:rsidP="004B275D">
      <w:pPr>
        <w:spacing w:after="0" w:line="240" w:lineRule="auto"/>
        <w:jc w:val="center"/>
        <w:rPr>
          <w:rFonts w:ascii="TimesNewRoman" w:hAnsi="TimesNewRoman" w:cs="TimesNewRoman"/>
          <w:iCs/>
          <w:sz w:val="24"/>
          <w:szCs w:val="24"/>
        </w:rPr>
      </w:pPr>
    </w:p>
    <w:p w:rsidR="00140019" w:rsidRPr="004B275D" w:rsidRDefault="00140019" w:rsidP="004B275D">
      <w:pPr>
        <w:spacing w:after="0" w:line="240" w:lineRule="auto"/>
        <w:jc w:val="center"/>
        <w:rPr>
          <w:rFonts w:ascii="TimesNewRoman" w:hAnsi="TimesNewRoman" w:cs="TimesNewRoman"/>
          <w:iCs/>
          <w:sz w:val="24"/>
          <w:szCs w:val="24"/>
        </w:rPr>
      </w:pPr>
      <w:r w:rsidRPr="004B275D">
        <w:rPr>
          <w:rFonts w:ascii="TimesNewRoman" w:hAnsi="TimesNewRoman" w:cs="TimesNewRoman"/>
          <w:iCs/>
          <w:sz w:val="24"/>
          <w:szCs w:val="24"/>
        </w:rPr>
        <w:t>Sergio Iván Alfaro Salas</w:t>
      </w:r>
    </w:p>
    <w:p w:rsidR="00140019" w:rsidRPr="004B275D" w:rsidRDefault="00140019" w:rsidP="004B275D">
      <w:pPr>
        <w:spacing w:after="0" w:line="240" w:lineRule="auto"/>
        <w:jc w:val="center"/>
        <w:rPr>
          <w:rFonts w:ascii="TimesNewRoman" w:hAnsi="TimesNewRoman" w:cs="TimesNewRoman"/>
          <w:iCs/>
          <w:sz w:val="24"/>
          <w:szCs w:val="24"/>
        </w:rPr>
      </w:pPr>
      <w:r w:rsidRPr="004B275D">
        <w:rPr>
          <w:rFonts w:ascii="TimesNewRoman" w:hAnsi="TimesNewRoman" w:cs="TimesNewRoman"/>
          <w:iCs/>
          <w:sz w:val="24"/>
          <w:szCs w:val="24"/>
        </w:rPr>
        <w:t>MINISTRO DE LA PRESIDENCIA</w:t>
      </w:r>
    </w:p>
    <w:p w:rsidR="004B275D" w:rsidRPr="004B275D" w:rsidRDefault="004B275D" w:rsidP="004B275D">
      <w:pPr>
        <w:spacing w:after="0" w:line="240" w:lineRule="auto"/>
        <w:jc w:val="center"/>
        <w:rPr>
          <w:rFonts w:ascii="TimesNewRoman" w:hAnsi="TimesNewRoman" w:cs="TimesNewRoman"/>
          <w:iCs/>
          <w:sz w:val="24"/>
          <w:szCs w:val="24"/>
        </w:rPr>
      </w:pPr>
    </w:p>
    <w:p w:rsidR="00140019" w:rsidRPr="004B275D" w:rsidRDefault="00140019" w:rsidP="004B275D">
      <w:pPr>
        <w:spacing w:after="0" w:line="240" w:lineRule="auto"/>
        <w:jc w:val="center"/>
        <w:rPr>
          <w:rFonts w:ascii="TimesNewRoman" w:hAnsi="TimesNewRoman" w:cs="TimesNewRoman"/>
          <w:iCs/>
          <w:sz w:val="24"/>
          <w:szCs w:val="24"/>
        </w:rPr>
      </w:pPr>
      <w:r w:rsidRPr="004B275D">
        <w:rPr>
          <w:rFonts w:ascii="TimesNewRoman" w:hAnsi="TimesNewRoman" w:cs="TimesNewRoman"/>
          <w:iCs/>
          <w:sz w:val="24"/>
          <w:szCs w:val="24"/>
        </w:rPr>
        <w:t>Luis Gustavo Mata Vega</w:t>
      </w:r>
    </w:p>
    <w:p w:rsidR="00140019" w:rsidRPr="004B275D" w:rsidRDefault="00140019" w:rsidP="004B275D">
      <w:pPr>
        <w:spacing w:after="0" w:line="240" w:lineRule="auto"/>
        <w:jc w:val="center"/>
        <w:rPr>
          <w:rFonts w:ascii="TimesNewRoman" w:hAnsi="TimesNewRoman" w:cs="TimesNewRoman"/>
          <w:iCs/>
          <w:sz w:val="24"/>
          <w:szCs w:val="24"/>
        </w:rPr>
      </w:pPr>
      <w:r w:rsidRPr="004B275D">
        <w:rPr>
          <w:rFonts w:ascii="TimesNewRoman" w:hAnsi="TimesNewRoman" w:cs="TimesNewRoman"/>
          <w:iCs/>
          <w:sz w:val="24"/>
          <w:szCs w:val="24"/>
        </w:rPr>
        <w:t>MINISTRO DE SEGURIDAD PÚBLICA</w:t>
      </w:r>
    </w:p>
    <w:p w:rsidR="004B275D" w:rsidRPr="004B275D" w:rsidRDefault="004B275D" w:rsidP="004B275D">
      <w:pPr>
        <w:jc w:val="center"/>
        <w:rPr>
          <w:rFonts w:ascii="TimesNewRoman" w:hAnsi="TimesNewRoman" w:cs="TimesNewRoman"/>
          <w:iCs/>
          <w:sz w:val="24"/>
          <w:szCs w:val="24"/>
        </w:rPr>
      </w:pPr>
    </w:p>
    <w:p w:rsidR="004B275D" w:rsidRPr="004B275D" w:rsidRDefault="004B275D" w:rsidP="004B275D">
      <w:pPr>
        <w:jc w:val="center"/>
        <w:rPr>
          <w:rFonts w:ascii="TimesNewRoman" w:hAnsi="TimesNewRoman" w:cs="TimesNewRoman"/>
          <w:iCs/>
          <w:sz w:val="24"/>
          <w:szCs w:val="24"/>
        </w:rPr>
      </w:pPr>
    </w:p>
    <w:p w:rsidR="0043598D" w:rsidRPr="004B275D" w:rsidRDefault="00140019" w:rsidP="004B275D">
      <w:pPr>
        <w:jc w:val="both"/>
      </w:pPr>
      <w:r w:rsidRPr="004B275D">
        <w:rPr>
          <w:rFonts w:ascii="TimesNewRoman" w:hAnsi="TimesNewRoman" w:cs="TimesNewRoman"/>
          <w:iCs/>
          <w:sz w:val="24"/>
          <w:szCs w:val="24"/>
        </w:rPr>
        <w:t>1 vez</w:t>
      </w:r>
      <w:proofErr w:type="gramStart"/>
      <w:r w:rsidRPr="004B275D">
        <w:rPr>
          <w:rFonts w:ascii="TimesNewRoman" w:hAnsi="TimesNewRoman" w:cs="TimesNewRoman"/>
          <w:iCs/>
          <w:sz w:val="24"/>
          <w:szCs w:val="24"/>
        </w:rPr>
        <w:t>.—</w:t>
      </w:r>
      <w:proofErr w:type="gramEnd"/>
      <w:r w:rsidRPr="004B275D">
        <w:rPr>
          <w:rFonts w:ascii="TimesNewRoman" w:hAnsi="TimesNewRoman" w:cs="TimesNewRoman"/>
          <w:iCs/>
          <w:sz w:val="24"/>
          <w:szCs w:val="24"/>
        </w:rPr>
        <w:t>O. C. N° 3400033263.—( IN2017147513 ).</w:t>
      </w:r>
    </w:p>
    <w:sectPr w:rsidR="0043598D" w:rsidRPr="004B27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19"/>
    <w:rsid w:val="00140019"/>
    <w:rsid w:val="001444E8"/>
    <w:rsid w:val="00395CB9"/>
    <w:rsid w:val="0043598D"/>
    <w:rsid w:val="004B275D"/>
    <w:rsid w:val="00D6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8E7A0-4B16-4FD1-B3E1-33903553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1671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Ching Sojo</dc:creator>
  <cp:keywords/>
  <dc:description/>
  <cp:lastModifiedBy>Wilber Ching Sojo</cp:lastModifiedBy>
  <cp:revision>3</cp:revision>
  <dcterms:created xsi:type="dcterms:W3CDTF">2017-07-07T13:40:00Z</dcterms:created>
  <dcterms:modified xsi:type="dcterms:W3CDTF">2017-07-07T13:54:00Z</dcterms:modified>
</cp:coreProperties>
</file>